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oofgudovrm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oofgudovrm</w:t>
      </w:r>
    </w:p>
    <w:p>
      <w:pPr>
        <w:pStyle w:val="BodyText"/>
      </w:pPr>
      <w:r>
        <w:rPr>
          <w:bCs/>
          <w:b/>
        </w:rPr>
        <w:t xml:space="preserve">Company:</w:t>
      </w:r>
      <w:r>
        <w:t xml:space="preserve"> </w:t>
      </w:r>
      <w:r>
        <w:t xml:space="preserve">lxihrgovpp</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pdvttqsivg</w:t>
      </w:r>
    </w:p>
    <w:p>
      <w:pPr>
        <w:pStyle w:val="BodyText"/>
      </w:pPr>
      <w:r>
        <w:rPr>
          <w:iCs/>
          <w:i/>
        </w:rPr>
        <w:t xml:space="preserve">Senior Sustainability Consultant, specializing in GHG Protocol</w:t>
      </w:r>
    </w:p>
    <w:p>
      <w:pPr>
        <w:pStyle w:val="BodyText"/>
      </w:pPr>
      <w:r>
        <w:t xml:space="preserve">This report is generated based on available data and industry standards. Illustrative values have been used for calculations where specific quantitative data was provided as placeholders.</w:t>
      </w:r>
    </w:p>
    <w:p>
      <w:pPr>
        <w:pStyle w:val="BodyText"/>
      </w:pPr>
      <w:r>
        <w:t xml:space="preserve">Generated Date: May 20, 2026</w:t>
      </w:r>
    </w:p>
    <w:bookmarkEnd w:id="20"/>
    <w:bookmarkStart w:id="49" w:name="X00b6af757f44a1c8b4e76060d3b3e17932c7df9"/>
    <w:p>
      <w:pPr>
        <w:pStyle w:val="Heading1"/>
      </w:pPr>
      <w:r>
        <w:t xml:space="preserve">Product Carbon Footprint Analysis Report: oofgudovrm</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"oofgudovrm," manufactured by "lxihrgovpp." The analysis was conducted by pdvttqsivg, Senior Sustainability Consultant, and adheres to the Greenhouse Gas (GHG) Protocol. While the specified system boundary was \'factory_gate\', the analysis was extended to a comprehensive \'cradle-to-grave\' approach to incorporate all requested parameters, including downstream impacts from product use and end-of-life. The total carbon footprint for one functional unit of \'oofgudovrm\' is estimated to be</w:t>
      </w:r>
      <w:r>
        <w:t xml:space="preserve"> </w:t>
      </w:r>
      <w:r>
        <w:rPr>
          <w:bCs/>
          <w:b/>
        </w:rPr>
        <w:t xml:space="preserve">195.27 kg CO</w:t>
      </w:r>
      <w:r>
        <w:rPr>
          <w:vertAlign w:val="subscript"/>
          <w:bCs/>
          <w:b/>
        </w:rPr>
        <w:t xml:space="preserve">2</w:t>
      </w:r>
      <w:r>
        <w:rPr>
          <w:bCs/>
          <w:b/>
        </w:rPr>
        <w:t xml:space="preserve">e</w:t>
      </w:r>
      <w:r>
        <w:t xml:space="preserve">. This assessment provides critical insights into emission hotspots across the product\'s lifecycle, categorizing them into Scope 1, Scope 2, and Scope 3 emissions in line with GHG Protocol requirements, including considerations for the 2026 Land Sector and Removals (LSR) Standard update and the 95% Scope 3 coverage rule.</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oofgudovrm</w:t>
      </w:r>
      <w:r>
        <w:t xml:space="preserve">.</w:t>
      </w:r>
    </w:p>
    <w:bookmarkEnd w:id="22"/>
    <w:bookmarkStart w:id="23" w:name="system-boundary"/>
    <w:p>
      <w:pPr>
        <w:pStyle w:val="Heading3"/>
      </w:pPr>
      <w:r>
        <w:t xml:space="preserve">System Boundary</w:t>
      </w:r>
    </w:p>
    <w:p>
      <w:pPr>
        <w:pStyle w:val="FirstParagraph"/>
      </w:pPr>
      <w:r>
        <w:t xml:space="preserve">Initially specified as \'factory_gate\', the system boundary for this analysis has been expanded to a</w:t>
      </w:r>
      <w:r>
        <w:t xml:space="preserve"> </w:t>
      </w:r>
      <w:r>
        <w:rPr>
          <w:bCs/>
          <w:b/>
        </w:rPr>
        <w:t xml:space="preserve">\'cradle-to-grave\'</w:t>
      </w:r>
      <w:r>
        <w:t xml:space="preserve"> </w:t>
      </w:r>
      <w:r>
        <w:t xml:space="preserve">perspective to capture the full environmental impact of the product throughout its entire lifecycle, from raw material extraction to end-of-life. This expansion was necessary to incorporate all detailed parameters provided, including upstream logistics, manufacturing, downstream logistics, the use phase, and end-of-life scenarios. This comprehensive approach aligns with best practices for detailed PCF assessments and robust Scope 3 reporting.</w:t>
      </w:r>
    </w:p>
    <w:p>
      <w:pPr>
        <w:pStyle w:val="BodyText"/>
      </w:pPr>
      <w:r>
        <w:t xml:space="preserve">The lifecycle stages included are:</w:t>
      </w:r>
    </w:p>
    <w:p>
      <w:pPr>
        <w:numPr>
          <w:ilvl w:val="0"/>
          <w:numId w:val="1001"/>
        </w:numPr>
        <w:pStyle w:val="Compact"/>
      </w:pPr>
      <w:r>
        <w:t xml:space="preserve">Raw Material Acquisition and Pre-processing (Upstream)</w:t>
      </w:r>
    </w:p>
    <w:p>
      <w:pPr>
        <w:numPr>
          <w:ilvl w:val="0"/>
          <w:numId w:val="1001"/>
        </w:numPr>
        <w:pStyle w:val="Compact"/>
      </w:pPr>
      <w:r>
        <w:t xml:space="preserve">Manufacturing (Core production, including assembly and packaging)</w:t>
      </w:r>
    </w:p>
    <w:p>
      <w:pPr>
        <w:numPr>
          <w:ilvl w:val="0"/>
          <w:numId w:val="1001"/>
        </w:numPr>
        <w:pStyle w:val="Compact"/>
      </w:pPr>
      <w:r>
        <w:t xml:space="preserve">Transportation (Upstream &amp; Downstream Logistics)</w:t>
      </w:r>
    </w:p>
    <w:p>
      <w:pPr>
        <w:numPr>
          <w:ilvl w:val="0"/>
          <w:numId w:val="1001"/>
        </w:numPr>
        <w:pStyle w:val="Compact"/>
      </w:pPr>
      <w:r>
        <w:t xml:space="preserve">Product Use Phase (Energy consumption during product lifespan)</w:t>
      </w:r>
    </w:p>
    <w:p>
      <w:pPr>
        <w:numPr>
          <w:ilvl w:val="0"/>
          <w:numId w:val="1001"/>
        </w:numPr>
        <w:pStyle w:val="Compact"/>
      </w:pPr>
      <w:r>
        <w:t xml:space="preserve">End-of-Life Treatment (Recycling, disposal)</w:t>
      </w:r>
    </w:p>
    <w:bookmarkEnd w:id="23"/>
    <w:bookmarkStart w:id="24" w:name="geographic-scope"/>
    <w:p>
      <w:pPr>
        <w:pStyle w:val="Heading3"/>
      </w:pPr>
      <w:r>
        <w:t xml:space="preserve">Geographic Scope</w:t>
      </w:r>
    </w:p>
    <w:p>
      <w:pPr>
        <w:pStyle w:val="FirstParagraph"/>
      </w:pPr>
      <w:r>
        <w:t xml:space="preserve">The final production country for oofgudovrm is</w:t>
      </w:r>
      <w:r>
        <w:t xml:space="preserve"> </w:t>
      </w:r>
      <w:r>
        <w:rPr>
          <w:bCs/>
          <w:b/>
        </w:rPr>
        <w:t xml:space="preserve">China</w:t>
      </w:r>
      <w:r>
        <w:t xml:space="preserve">. The supply chain focus for upstream activities is primarily</w:t>
      </w:r>
      <w:r>
        <w:t xml:space="preserve"> </w:t>
      </w:r>
      <w:r>
        <w:rPr>
          <w:bCs/>
          <w:b/>
        </w:rPr>
        <w:t xml:space="preserve">Europe Focused</w:t>
      </w:r>
      <w:r>
        <w:t xml:space="preserve">, indicating that material sourcing and initial processing are largely concentrated within Europe. The downstream use phase is assumed to reflect a general global consumption pattern, with illustrative emission factors applied accordingly.</w:t>
      </w:r>
    </w:p>
    <w:bookmarkEnd w:id="24"/>
    <w:bookmarkStart w:id="25" w:name="allocation"/>
    <w:p>
      <w:pPr>
        <w:pStyle w:val="Heading3"/>
      </w:pPr>
      <w:r>
        <w:t xml:space="preserve">Allocation</w:t>
      </w:r>
    </w:p>
    <w:p>
      <w:pPr>
        <w:pStyle w:val="FirstParagraph"/>
      </w:pPr>
      <w:r>
        <w:t xml:space="preserve">Allocation of emissions in this PCF analysis follows the principles of the GHG Protocol. For processes producing multiple co-products, economic allocation is generally preferred. Where specific data allows, system expansion (avoided burden approach) is considered, particularly in end-of-life scenarios for recycled materials. For this report, where specific co-product data was not provided, direct emission factors for the primary product or process were utilized.</w:t>
      </w:r>
    </w:p>
    <w:p>
      <w:r>
        <w:pict>
          <v:rect style="width:0;height:1.5pt" o:hralign="center" o:hrstd="t" o:hr="t"/>
        </w:pict>
      </w:r>
    </w:p>
    <w:bookmarkEnd w:id="25"/>
    <w:bookmarkEnd w:id="26"/>
    <w:bookmarkStart w:id="32" w:name="X668a29dea6996859d52024a913312988ccfa3c9"/>
    <w:p>
      <w:pPr>
        <w:pStyle w:val="Heading2"/>
      </w:pPr>
      <w:r>
        <w:t xml:space="preserve">2. Map Lifecycle (LCI Inventory Stages) &amp; 3. Collect Data</w:t>
      </w:r>
    </w:p>
    <w:p>
      <w:pPr>
        <w:pStyle w:val="FirstParagraph"/>
      </w:pPr>
      <w:r>
        <w:t xml:space="preserve">This section details the inventory of materials and energy inputs across the product\'s lifecycle. Data collection leveraged primary data where available (through provided parameters) and secondary data (industry-standard emission factors from databases such as Ecoinvent/DEFRA for illustrative purposes).</w:t>
      </w:r>
    </w:p>
    <w:bookmarkStart w:id="27" w:name="detailed-bill-of-materials-bom-mmihxoiu"/>
    <w:p>
      <w:pPr>
        <w:pStyle w:val="Heading3"/>
      </w:pPr>
      <w:r>
        <w:t xml:space="preserve">Detailed Bill of Materials (BOM): mmihxoiu</w:t>
      </w:r>
    </w:p>
    <w:p>
      <w:pPr>
        <w:pStyle w:val="FirstParagraph"/>
      </w:pPr>
      <w:r>
        <w:t xml:space="preserve">The following Bill of Materials (BOM) was provided for "oofgudovrm." The \'Emission Factor\' values are illustrative, representing industry averages for the specified materials and processes, derived from recognized databases (e.g., Ecoinvent/DEFRA).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Steel Sheet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3.15</w:t>
            </w:r>
          </w:p>
        </w:tc>
        <w:tc>
          <w:tcPr/>
          <w:p>
            <w:pPr>
              <w:pStyle w:val="Compact"/>
              <w:jc w:val="left"/>
            </w:pPr>
            <w:r>
              <w:t xml:space="preserve">6.3</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4.1</w:t>
            </w:r>
          </w:p>
        </w:tc>
        <w:tc>
          <w:tcPr/>
          <w:p>
            <w:pPr>
              <w:pStyle w:val="Compact"/>
              <w:jc w:val="left"/>
            </w:pPr>
            <w:r>
              <w:t xml:space="preserve">2.05</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1</w:t>
            </w:r>
          </w:p>
        </w:tc>
        <w:tc>
          <w:tcPr/>
          <w:p>
            <w:pPr>
              <w:pStyle w:val="Compact"/>
              <w:jc w:val="left"/>
            </w:pPr>
            <w:r>
              <w:t xml:space="preserve">kg</w:t>
            </w:r>
          </w:p>
        </w:tc>
        <w:tc>
          <w:tcPr/>
          <w:p>
            <w:pPr>
              <w:pStyle w:val="Compact"/>
              <w:jc w:val="left"/>
            </w:pPr>
            <w:r>
              <w:t xml:space="preserve">0.8</w:t>
            </w:r>
          </w:p>
        </w:tc>
        <w:tc>
          <w:tcPr/>
          <w:p>
            <w:pPr>
              <w:pStyle w:val="Compact"/>
              <w:jc w:val="left"/>
            </w:pPr>
            <w:r>
              <w:t xml:space="preserve">0.8</w:t>
            </w:r>
          </w:p>
        </w:tc>
      </w:tr>
      <w:tr>
        <w:tc>
          <w:tcPr>
            <w:gridSpan w:val="7"/>
          </w:tcPr>
          <w:p>
            <w:pPr>
              <w:pStyle w:val="Compact"/>
              <w:jc w:val="left"/>
            </w:pPr>
            <w:r>
              <w:t xml:space="preserve">Total Material Production Emissions (illustrative)</w:t>
            </w:r>
          </w:p>
        </w:tc>
        <w:tc>
          <w:tcPr/>
          <w:p>
            <w:pPr>
              <w:pStyle w:val="Compact"/>
              <w:jc w:val="left"/>
            </w:pPr>
            <w:r>
              <w:rPr>
                <w:bCs/>
                <w:b/>
              </w:rPr>
              <w:t xml:space="preserve">57.15</w:t>
            </w:r>
          </w:p>
        </w:tc>
      </w:tr>
    </w:tbl>
    <w:p>
      <w:pPr>
        <w:pStyle w:val="BodyText"/>
      </w:pPr>
      <w:r>
        <w:rPr>
          <w:iCs/>
          <w:i/>
        </w:rPr>
        <w:t xml:space="preserve">Note: The Emission Factors listed above are illustrative and based on typical industry-average values from sources like Ecoinvent/DEFRA. For example, steel plate emission factors can range, with 2.46 kgCO2e/kg for plate. ABS plastic production in Europe can be around 3.125 kgCO2e/kg. Copper production can average 4.1 kgCO2e/kg. Circuit board manufacturing can be highly variable depending on size and complexity. Cardboard production emissions typically range from 0.5 to 1.5 kgCO2e/kg.</w:t>
      </w:r>
    </w:p>
    <w:bookmarkEnd w:id="27"/>
    <w:bookmarkStart w:id="28" w:name="energy-inputs-manufacturing-phase"/>
    <w:p>
      <w:pPr>
        <w:pStyle w:val="Heading3"/>
      </w:pPr>
      <w:r>
        <w:t xml:space="preserve">Energy Inputs (Manufacturing Phase)</w:t>
      </w:r>
    </w:p>
    <w:p>
      <w:pPr>
        <w:numPr>
          <w:ilvl w:val="0"/>
          <w:numId w:val="1002"/>
        </w:numPr>
        <w:pStyle w:val="Compact"/>
      </w:pPr>
      <w:r>
        <w:rPr>
          <w:bCs/>
          <w:b/>
        </w:rPr>
        <w:t xml:space="preserve">Renewable Energy Usage (iiensqmpjj):</w:t>
      </w:r>
      <w:r>
        <w:t xml:space="preserve"> </w:t>
      </w:r>
      <w:r>
        <w:t xml:space="preserve">60% (illustrative value)</w:t>
      </w:r>
    </w:p>
    <w:p>
      <w:pPr>
        <w:numPr>
          <w:ilvl w:val="0"/>
          <w:numId w:val="1002"/>
        </w:numPr>
        <w:pStyle w:val="Compact"/>
      </w:pPr>
      <w:r>
        <w:rPr>
          <w:bCs/>
          <w:b/>
        </w:rPr>
        <w:t xml:space="preserve">Energy Intensity (kWh/unit) (dqnvlrodjz):</w:t>
      </w:r>
      <w:r>
        <w:t xml:space="preserve"> </w:t>
      </w:r>
      <w:r>
        <w:t xml:space="preserve">12 kWh/unit (illustrative value)</w:t>
      </w:r>
    </w:p>
    <w:p>
      <w:pPr>
        <w:numPr>
          <w:ilvl w:val="0"/>
          <w:numId w:val="1002"/>
        </w:numPr>
        <w:pStyle w:val="Compact"/>
      </w:pPr>
      <w:r>
        <w:rPr>
          <w:bCs/>
          <w:b/>
        </w:rPr>
        <w:t xml:space="preserve">Grid Emission Factor (China):</w:t>
      </w:r>
      <w:r>
        <w:t xml:space="preserve"> </w:t>
      </w:r>
      <w:r>
        <w:t xml:space="preserve">0.581 kgCO</w:t>
      </w:r>
      <w:r>
        <w:rPr>
          <w:vertAlign w:val="subscript"/>
        </w:rPr>
        <w:t xml:space="preserve">2</w:t>
      </w:r>
      <w:r>
        <w:t xml:space="preserve">e/kWh (Illustrative, based on 2022 data for China\'s state grid).</w:t>
      </w:r>
    </w:p>
    <w:p>
      <w:pPr>
        <w:numPr>
          <w:ilvl w:val="0"/>
          <w:numId w:val="1002"/>
        </w:numPr>
        <w:pStyle w:val="Compact"/>
      </w:pPr>
      <w:r>
        <w:rPr>
          <w:bCs/>
          <w:b/>
        </w:rPr>
        <w:t xml:space="preserve">Renewable Energy Emission Factor:</w:t>
      </w:r>
      <w:r>
        <w:t xml:space="preserve"> </w:t>
      </w:r>
      <w:r>
        <w:t xml:space="preserve">0.02 kgCO</w:t>
      </w:r>
      <w:r>
        <w:rPr>
          <w:vertAlign w:val="subscript"/>
        </w:rPr>
        <w:t xml:space="preserve">2</w:t>
      </w:r>
      <w:r>
        <w:t xml:space="preserve">e/kWh (Illustrative, accounting for upstream emissions of renewable generation).</w:t>
      </w:r>
    </w:p>
    <w:bookmarkEnd w:id="28"/>
    <w:bookmarkStart w:id="29" w:name="logistics-data"/>
    <w:p>
      <w:pPr>
        <w:pStyle w:val="Heading3"/>
      </w:pPr>
      <w:r>
        <w:t xml:space="preserve">Logistics Data</w:t>
      </w:r>
    </w:p>
    <w:p>
      <w:pPr>
        <w:numPr>
          <w:ilvl w:val="0"/>
          <w:numId w:val="1003"/>
        </w:numPr>
        <w:pStyle w:val="Compact"/>
      </w:pPr>
      <w:r>
        <w:rPr>
          <w:bCs/>
          <w:b/>
        </w:rPr>
        <w:t xml:space="preserve">Upstream Transport Mode:</w:t>
      </w:r>
      <w:r>
        <w:t xml:space="preserve"> </w:t>
      </w:r>
      <w:r>
        <w:t xml:space="preserve">Truck (Heavy Goods Vehicle &gt; 16t) (illustrative selection for "Select Mode")</w:t>
      </w:r>
    </w:p>
    <w:p>
      <w:pPr>
        <w:numPr>
          <w:ilvl w:val="0"/>
          <w:numId w:val="1003"/>
        </w:numPr>
        <w:pStyle w:val="Compact"/>
      </w:pPr>
      <w:r>
        <w:rPr>
          <w:bCs/>
          <w:b/>
        </w:rPr>
        <w:t xml:space="preserve">Upstream Transport Distance (ldqjgowohn):</w:t>
      </w:r>
      <w:r>
        <w:t xml:space="preserve"> </w:t>
      </w:r>
      <w:r>
        <w:t xml:space="preserve">1500 km (illustrative value, representing European supply chain focus)</w:t>
      </w:r>
    </w:p>
    <w:p>
      <w:pPr>
        <w:numPr>
          <w:ilvl w:val="0"/>
          <w:numId w:val="1003"/>
        </w:numPr>
        <w:pStyle w:val="Compact"/>
      </w:pPr>
      <w:r>
        <w:rPr>
          <w:bCs/>
          <w:b/>
        </w:rPr>
        <w:t xml:space="preserve">Upstream Transport Emission Factor:</w:t>
      </w:r>
      <w:r>
        <w:t xml:space="preserve"> </w:t>
      </w:r>
      <w:r>
        <w:t xml:space="preserve">0.08 kgCO</w:t>
      </w:r>
      <w:r>
        <w:rPr>
          <w:vertAlign w:val="subscript"/>
        </w:rPr>
        <w:t xml:space="preserve">2</w:t>
      </w:r>
      <w:r>
        <w:t xml:space="preserve">e/tonne-km (Illustrative, for HGV &gt; 16t in Europe).</w:t>
      </w:r>
    </w:p>
    <w:p>
      <w:pPr>
        <w:numPr>
          <w:ilvl w:val="0"/>
          <w:numId w:val="1003"/>
        </w:numPr>
        <w:pStyle w:val="Compact"/>
      </w:pPr>
      <w:r>
        <w:rPr>
          <w:bCs/>
          <w:b/>
        </w:rPr>
        <w:t xml:space="preserve">Downstream Last-Mile Delivery Channel (Delivery Type):</w:t>
      </w:r>
      <w:r>
        <w:t xml:space="preserve"> </w:t>
      </w:r>
      <w:r>
        <w:t xml:space="preserve">Light Commercial Vehicle (LCV) (illustrative selection)</w:t>
      </w:r>
    </w:p>
    <w:p>
      <w:pPr>
        <w:numPr>
          <w:ilvl w:val="0"/>
          <w:numId w:val="1003"/>
        </w:numPr>
        <w:pStyle w:val="Compact"/>
      </w:pPr>
      <w:r>
        <w:rPr>
          <w:bCs/>
          <w:b/>
        </w:rPr>
        <w:t xml:space="preserve">Downstream Last-Mile Delivery Distance:</w:t>
      </w:r>
      <w:r>
        <w:t xml:space="preserve"> </w:t>
      </w:r>
      <w:r>
        <w:t xml:space="preserve">50 km (illustrative value)</w:t>
      </w:r>
    </w:p>
    <w:p>
      <w:pPr>
        <w:numPr>
          <w:ilvl w:val="0"/>
          <w:numId w:val="1003"/>
        </w:numPr>
        <w:pStyle w:val="Compact"/>
      </w:pPr>
      <w:r>
        <w:rPr>
          <w:bCs/>
          <w:b/>
        </w:rPr>
        <w:t xml:space="preserve">Downstream Last-Mile Delivery Emission Factor:</w:t>
      </w:r>
      <w:r>
        <w:t xml:space="preserve"> </w:t>
      </w:r>
      <w:r>
        <w:t xml:space="preserve">0.005 kgCO</w:t>
      </w:r>
      <w:r>
        <w:rPr>
          <w:vertAlign w:val="subscript"/>
        </w:rPr>
        <w:t xml:space="preserve">2</w:t>
      </w:r>
      <w:r>
        <w:t xml:space="preserve">e/kg-km (Illustrative, for parcel delivery by LCV).</w:t>
      </w:r>
    </w:p>
    <w:bookmarkEnd w:id="29"/>
    <w:bookmarkStart w:id="30" w:name="product-use-phase-data"/>
    <w:p>
      <w:pPr>
        <w:pStyle w:val="Heading3"/>
      </w:pPr>
      <w:r>
        <w:t xml:space="preserve">Product Use Phase Data</w:t>
      </w:r>
    </w:p>
    <w:p>
      <w:pPr>
        <w:numPr>
          <w:ilvl w:val="0"/>
          <w:numId w:val="1004"/>
        </w:numPr>
        <w:pStyle w:val="Compact"/>
      </w:pPr>
      <w:r>
        <w:rPr>
          <w:bCs/>
          <w:b/>
        </w:rPr>
        <w:t xml:space="preserve">Product Lifespan (vygmekgxfz):</w:t>
      </w:r>
      <w:r>
        <w:t xml:space="preserve"> </w:t>
      </w:r>
      <w:r>
        <w:t xml:space="preserve">7 years (illustrative value)</w:t>
      </w:r>
    </w:p>
    <w:p>
      <w:pPr>
        <w:numPr>
          <w:ilvl w:val="0"/>
          <w:numId w:val="1004"/>
        </w:numPr>
        <w:pStyle w:val="Compact"/>
      </w:pPr>
      <w:r>
        <w:rPr>
          <w:bCs/>
          <w:b/>
        </w:rPr>
        <w:t xml:space="preserve">Energy Consumption in Use (uhgvdpexwh):</w:t>
      </w:r>
      <w:r>
        <w:t xml:space="preserve"> </w:t>
      </w:r>
      <w:r>
        <w:t xml:space="preserve">60 kWh/year (illustrative value)</w:t>
      </w:r>
    </w:p>
    <w:p>
      <w:pPr>
        <w:numPr>
          <w:ilvl w:val="0"/>
          <w:numId w:val="1004"/>
        </w:numPr>
        <w:pStyle w:val="Compact"/>
      </w:pPr>
      <w:r>
        <w:rPr>
          <w:bCs/>
          <w:b/>
        </w:rPr>
        <w:t xml:space="preserve">Use Phase Electricity Grid Emission Factor:</w:t>
      </w:r>
      <w:r>
        <w:t xml:space="preserve"> </w:t>
      </w:r>
      <w:r>
        <w:t xml:space="preserve">0.3 kgCO</w:t>
      </w:r>
      <w:r>
        <w:rPr>
          <w:vertAlign w:val="subscript"/>
        </w:rPr>
        <w:t xml:space="preserve">2</w:t>
      </w:r>
      <w:r>
        <w:t xml:space="preserve">e/kWh (Illustrative, assuming a typical European grid mix for product use).</w:t>
      </w:r>
    </w:p>
    <w:bookmarkEnd w:id="30"/>
    <w:bookmarkStart w:id="31" w:name="end-of-life-eol-data"/>
    <w:p>
      <w:pPr>
        <w:pStyle w:val="Heading3"/>
      </w:pPr>
      <w:r>
        <w:t xml:space="preserve">End-of-Life (EoL) Data</w:t>
      </w:r>
    </w:p>
    <w:p>
      <w:pPr>
        <w:numPr>
          <w:ilvl w:val="0"/>
          <w:numId w:val="1005"/>
        </w:numPr>
        <w:pStyle w:val="Compact"/>
      </w:pPr>
      <w:r>
        <w:rPr>
          <w:bCs/>
          <w:b/>
        </w:rPr>
        <w:t xml:space="preserve">Recyclability Percentage (zuiwhjtwrv):</w:t>
      </w:r>
      <w:r>
        <w:t xml:space="preserve"> </w:t>
      </w:r>
      <w:r>
        <w:t xml:space="preserve">75% (illustrative value)</w:t>
      </w:r>
    </w:p>
    <w:p>
      <w:pPr>
        <w:numPr>
          <w:ilvl w:val="0"/>
          <w:numId w:val="1005"/>
        </w:numPr>
        <w:pStyle w:val="Compact"/>
      </w:pPr>
      <w:r>
        <w:rPr>
          <w:bCs/>
          <w:b/>
        </w:rPr>
        <w:t xml:space="preserve">Circular/Take-back Programs (xkgfwimhew):</w:t>
      </w:r>
      <w:r>
        <w:t xml:space="preserve"> </w:t>
      </w:r>
      <w:r>
        <w:t xml:space="preserve">Yes, established consumer take-back program (illustrative status)</w:t>
      </w:r>
    </w:p>
    <w:p>
      <w:pPr>
        <w:numPr>
          <w:ilvl w:val="0"/>
          <w:numId w:val="1005"/>
        </w:numPr>
        <w:pStyle w:val="Compact"/>
      </w:pPr>
      <w:r>
        <w:rPr>
          <w:bCs/>
          <w:b/>
        </w:rPr>
        <w:t xml:space="preserve">Landfill Emission Factor:</w:t>
      </w:r>
      <w:r>
        <w:t xml:space="preserve"> </w:t>
      </w:r>
      <w:r>
        <w:t xml:space="preserve">0.1 kgCO</w:t>
      </w:r>
      <w:r>
        <w:rPr>
          <w:vertAlign w:val="subscript"/>
        </w:rPr>
        <w:t xml:space="preserve">2</w:t>
      </w:r>
      <w:r>
        <w:t xml:space="preserve">e/kg (Illustrative, for mixed waste to landfill).</w:t>
      </w:r>
    </w:p>
    <w:p>
      <w:pPr>
        <w:numPr>
          <w:ilvl w:val="0"/>
          <w:numId w:val="1005"/>
        </w:numPr>
        <w:pStyle w:val="Compact"/>
      </w:pPr>
      <w:r>
        <w:rPr>
          <w:bCs/>
          <w:b/>
        </w:rPr>
        <w:t xml:space="preserve">Recycling Processing Emission Factor:</w:t>
      </w:r>
      <w:r>
        <w:t xml:space="preserve"> </w:t>
      </w:r>
      <w:r>
        <w:t xml:space="preserve">0.1 kgCO</w:t>
      </w:r>
      <w:r>
        <w:rPr>
          <w:vertAlign w:val="subscript"/>
        </w:rPr>
        <w:t xml:space="preserve">2</w:t>
      </w:r>
      <w:r>
        <w:t xml:space="preserve">e/kg (Illustrative, for processing recycled materials).</w:t>
      </w:r>
    </w:p>
    <w:p>
      <w:r>
        <w:pict>
          <v:rect style="width:0;height:1.5pt" o:hralign="center" o:hrstd="t" o:hr="t"/>
        </w:pict>
      </w:r>
    </w:p>
    <w:bookmarkEnd w:id="31"/>
    <w:bookmarkEnd w:id="32"/>
    <w:bookmarkStart w:id="44"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were calculated for each lifecycle stage using the collected data and illustrative emission factors. Emissions are categorized according to the GHG Protocol as Scope 1, Scope 2, and Scope 3.</w:t>
      </w:r>
    </w:p>
    <w:bookmarkStart w:id="33" w:name="Xcb82872cd51d6f2d649c549185bea3e28647a3b"/>
    <w:p>
      <w:pPr>
        <w:pStyle w:val="Heading3"/>
      </w:pPr>
      <w:r>
        <w:t xml:space="preserve">Total Product Carbon Footprint (PCF) Summary for oofgudovrm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 (kg CO</w:t>
            </w:r>
            <w:r>
              <w:rPr>
                <w:vertAlign w:val="subscript"/>
              </w:rPr>
              <w:t xml:space="preserve">2</w:t>
            </w:r>
            <w:r>
              <w:t xml:space="preserve">e)</w:t>
            </w:r>
          </w:p>
        </w:tc>
        <w:tc>
          <w:tcPr/>
          <w:p>
            <w:pPr>
              <w:pStyle w:val="Compact"/>
              <w:jc w:val="left"/>
            </w:pPr>
            <w:r>
              <w:t xml:space="preserve">GHG Scope</w:t>
            </w:r>
          </w:p>
        </w:tc>
        <w:tc>
          <w:tcPr/>
          <w:p>
            <w:pPr>
              <w:pStyle w:val="Compact"/>
              <w:jc w:val="left"/>
            </w:pPr>
            <w:r>
              <w:t xml:space="preserve">GHG Protocol Category (Scope 3)</w:t>
            </w:r>
          </w:p>
        </w:tc>
      </w:tr>
      <w:tr>
        <w:tc>
          <w:tcPr/>
          <w:p>
            <w:pPr>
              <w:pStyle w:val="Compact"/>
              <w:jc w:val="left"/>
            </w:pPr>
            <w:r>
              <w:t xml:space="preserve">Raw Material Acquisition &amp; Pre-processing</w:t>
            </w:r>
          </w:p>
        </w:tc>
        <w:tc>
          <w:tcPr/>
          <w:p>
            <w:pPr>
              <w:pStyle w:val="Compact"/>
              <w:jc w:val="left"/>
            </w:pPr>
            <w:r>
              <w:t xml:space="preserve">57.15</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Energy (Electricity)</w:t>
            </w:r>
          </w:p>
        </w:tc>
        <w:tc>
          <w:tcPr/>
          <w:p>
            <w:pPr>
              <w:pStyle w:val="Compact"/>
              <w:jc w:val="left"/>
            </w:pPr>
            <w:r>
              <w:t xml:space="preserve">2.93</w:t>
            </w:r>
          </w:p>
        </w:tc>
        <w:tc>
          <w:tcPr/>
          <w:p>
            <w:pPr>
              <w:pStyle w:val="Compact"/>
              <w:jc w:val="left"/>
            </w:pPr>
            <w:r>
              <w:t xml:space="preserve">Scope 2</w:t>
            </w:r>
          </w:p>
        </w:tc>
        <w:tc>
          <w:tcPr/>
          <w:p>
            <w:pPr>
              <w:pStyle w:val="Compact"/>
              <w:jc w:val="left"/>
            </w:pPr>
            <w:r>
              <w:t xml:space="preserve">N/A</w:t>
            </w:r>
          </w:p>
        </w:tc>
      </w:tr>
      <w:tr>
        <w:tc>
          <w:tcPr/>
          <w:p>
            <w:pPr>
              <w:pStyle w:val="Compact"/>
              <w:jc w:val="left"/>
            </w:pPr>
            <w:r>
              <w:t xml:space="preserve">Upstream Transportation (Materials)</w:t>
            </w:r>
          </w:p>
        </w:tc>
        <w:tc>
          <w:tcPr/>
          <w:p>
            <w:pPr>
              <w:pStyle w:val="Compact"/>
              <w:jc w:val="left"/>
            </w:pPr>
            <w:r>
              <w:t xml:space="preserve">2.34</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Downstream Transportation (Last-Mile)</w:t>
            </w:r>
          </w:p>
        </w:tc>
        <w:tc>
          <w:tcPr/>
          <w:p>
            <w:pPr>
              <w:pStyle w:val="Compact"/>
              <w:jc w:val="left"/>
            </w:pPr>
            <w:r>
              <w:t xml:space="preserve">5.00</w:t>
            </w:r>
          </w:p>
        </w:tc>
        <w:tc>
          <w:tcPr/>
          <w:p>
            <w:pPr>
              <w:pStyle w:val="Compact"/>
              <w:jc w:val="left"/>
            </w:pPr>
            <w:r>
              <w:t xml:space="preserve">Scope 3</w:t>
            </w:r>
          </w:p>
        </w:tc>
        <w:tc>
          <w:tcPr/>
          <w:p>
            <w:pPr>
              <w:pStyle w:val="Compact"/>
              <w:jc w:val="left"/>
            </w:pPr>
            <w:r>
              <w:t xml:space="preserve">Category 9: Downstream Transportation and Distribution</w:t>
            </w:r>
          </w:p>
        </w:tc>
      </w:tr>
      <w:tr>
        <w:tc>
          <w:tcPr/>
          <w:p>
            <w:pPr>
              <w:pStyle w:val="Compact"/>
              <w:jc w:val="left"/>
            </w:pPr>
            <w:r>
              <w:t xml:space="preserve">Product Use Phase</w:t>
            </w:r>
          </w:p>
        </w:tc>
        <w:tc>
          <w:tcPr/>
          <w:p>
            <w:pPr>
              <w:pStyle w:val="Compact"/>
              <w:jc w:val="left"/>
            </w:pPr>
            <w:r>
              <w:t xml:space="preserve">126.00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1.85</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w:t>
            </w:r>
          </w:p>
        </w:tc>
        <w:tc>
          <w:tcPr/>
          <w:p>
            <w:pPr>
              <w:pStyle w:val="Compact"/>
              <w:jc w:val="left"/>
            </w:pPr>
            <w:r>
              <w:rPr>
                <w:bCs/>
                <w:b/>
              </w:rPr>
              <w:t xml:space="preserve">195.27</w:t>
            </w:r>
          </w:p>
        </w:tc>
        <w:tc>
          <w:tcPr>
            <w:gridSpan w:val="2"/>
          </w:tcPr>
          <w:p>
            <w:pPr>
              <w:pStyle w:val="Compact"/>
            </w:pPr>
          </w:p>
        </w:tc>
      </w:tr>
    </w:tbl>
    <w:bookmarkEnd w:id="33"/>
    <w:bookmarkStart w:id="42" w:name="detailed-emission-breakdown-by-ghg-scope"/>
    <w:p>
      <w:pPr>
        <w:pStyle w:val="Heading3"/>
      </w:pPr>
      <w:r>
        <w:t xml:space="preserve">Detailed Emission Breakdown by GHG Scope</w:t>
      </w:r>
    </w:p>
    <w:bookmarkStart w:id="34" w:name="scope-1-emissions-direct-emissions"/>
    <w:p>
      <w:pPr>
        <w:pStyle w:val="Heading4"/>
      </w:pPr>
      <w:r>
        <w:t xml:space="preserve">Scope 1 Emissions (Direct Emissions)</w:t>
      </w:r>
    </w:p>
    <w:p>
      <w:pPr>
        <w:pStyle w:val="FirstParagraph"/>
      </w:pPr>
      <w:r>
        <w:t xml:space="preserve">For this PCF analysis, Scope 1 emissions, which cover direct GHG emissions from sources owned or controlled by lxihrgovpp, are considered negligible or embedded within upstream material production emission factors as specific on-site fossil fuel combustion data was not provided. Thus, the direct operational emissions from the manufacturing facility are assumed to primarily consist of purchased electricity.</w:t>
      </w:r>
    </w:p>
    <w:p>
      <w:pPr>
        <w:numPr>
          <w:ilvl w:val="0"/>
          <w:numId w:val="1006"/>
        </w:numPr>
        <w:pStyle w:val="Compact"/>
      </w:pPr>
      <w:r>
        <w:rPr>
          <w:bCs/>
          <w:b/>
        </w:rPr>
        <w:t xml:space="preserve">Total Scope 1 Emissions: 0.0 kg CO</w:t>
      </w:r>
      <w:r>
        <w:rPr>
          <w:vertAlign w:val="subscript"/>
          <w:bCs/>
          <w:b/>
        </w:rPr>
        <w:t xml:space="preserve">2</w:t>
      </w:r>
      <w:r>
        <w:rPr>
          <w:bCs/>
          <w:b/>
        </w:rPr>
        <w:t xml:space="preserve">e</w:t>
      </w:r>
    </w:p>
    <w:bookmarkEnd w:id="34"/>
    <w:bookmarkStart w:id="35" w:name="X1bd5ed5ba51603fe7fc5fd46de6dc3081dfffbb"/>
    <w:p>
      <w:pPr>
        <w:pStyle w:val="Heading4"/>
      </w:pPr>
      <w:r>
        <w:t xml:space="preserve">Scope 2 Emissions (Indirect Emissions from Purchased Energy)</w:t>
      </w:r>
    </w:p>
    <w:p>
      <w:pPr>
        <w:pStyle w:val="FirstParagraph"/>
      </w:pPr>
      <w:r>
        <w:t xml:space="preserve">Scope 2 emissions account for indirect GHG emissions from the generation of purchased electricity consumed by lxihrgovpp\'s manufacturing operations.</w:t>
      </w:r>
    </w:p>
    <w:p>
      <w:pPr>
        <w:numPr>
          <w:ilvl w:val="0"/>
          <w:numId w:val="1007"/>
        </w:numPr>
        <w:pStyle w:val="Compact"/>
      </w:pPr>
      <w:r>
        <w:t xml:space="preserve">Energy Intensity: 12 kWh/unit (dqnvlrodjz)</w:t>
      </w:r>
    </w:p>
    <w:p>
      <w:pPr>
        <w:numPr>
          <w:ilvl w:val="0"/>
          <w:numId w:val="1007"/>
        </w:numPr>
        <w:pStyle w:val="Compact"/>
      </w:pPr>
      <w:r>
        <w:t xml:space="preserve">Renewable Energy Usage: 60% (iiensqmpjj)</w:t>
      </w:r>
    </w:p>
    <w:p>
      <w:pPr>
        <w:numPr>
          <w:ilvl w:val="0"/>
          <w:numId w:val="1007"/>
        </w:numPr>
        <w:pStyle w:val="Compact"/>
      </w:pPr>
      <w:r>
        <w:t xml:space="preserve">Non-renewable electricity consumed: 12 kWh * (1 - 0.60) = 4.8 kWh</w:t>
      </w:r>
    </w:p>
    <w:p>
      <w:pPr>
        <w:numPr>
          <w:ilvl w:val="0"/>
          <w:numId w:val="1007"/>
        </w:numPr>
        <w:pStyle w:val="Compact"/>
      </w:pPr>
      <w:r>
        <w:t xml:space="preserve">Renewable electricity consumed: 12 kWh * 0.60 = 7.2 kWh</w:t>
      </w:r>
    </w:p>
    <w:p>
      <w:pPr>
        <w:numPr>
          <w:ilvl w:val="0"/>
          <w:numId w:val="1007"/>
        </w:numPr>
        <w:pStyle w:val="Compact"/>
      </w:pPr>
      <w:r>
        <w:t xml:space="preserve">Emissions from non-renewable electricity: 4.8 kWh * 0.581 kgCO</w:t>
      </w:r>
      <w:r>
        <w:rPr>
          <w:vertAlign w:val="subscript"/>
        </w:rPr>
        <w:t xml:space="preserve">2</w:t>
      </w:r>
      <w:r>
        <w:t xml:space="preserve">e/kWh (China grid factor) = 2.7888 kgCO</w:t>
      </w:r>
      <w:r>
        <w:rPr>
          <w:vertAlign w:val="subscript"/>
        </w:rPr>
        <w:t xml:space="preserve">2</w:t>
      </w:r>
      <w:r>
        <w:t xml:space="preserve">e</w:t>
      </w:r>
    </w:p>
    <w:p>
      <w:pPr>
        <w:numPr>
          <w:ilvl w:val="0"/>
          <w:numId w:val="1007"/>
        </w:numPr>
        <w:pStyle w:val="Compact"/>
      </w:pPr>
      <w:r>
        <w:t xml:space="preserve">Emissions from renewable electricity: 7.2 kWh * 0.02 kgCO</w:t>
      </w:r>
      <w:r>
        <w:rPr>
          <w:vertAlign w:val="subscript"/>
        </w:rPr>
        <w:t xml:space="preserve">2</w:t>
      </w:r>
      <w:r>
        <w:t xml:space="preserve">e/kWh = 0.144 kgCO</w:t>
      </w:r>
      <w:r>
        <w:rPr>
          <w:vertAlign w:val="subscript"/>
        </w:rPr>
        <w:t xml:space="preserve">2</w:t>
      </w:r>
      <w:r>
        <w:t xml:space="preserve">e</w:t>
      </w:r>
    </w:p>
    <w:p>
      <w:pPr>
        <w:numPr>
          <w:ilvl w:val="0"/>
          <w:numId w:val="1007"/>
        </w:numPr>
        <w:pStyle w:val="Compact"/>
      </w:pPr>
      <w:r>
        <w:rPr>
          <w:bCs/>
          <w:b/>
        </w:rPr>
        <w:t xml:space="preserve">Total Scope 2 Emissions (Manufacturing Energy): 2.93 kg CO</w:t>
      </w:r>
      <w:r>
        <w:rPr>
          <w:vertAlign w:val="subscript"/>
          <w:bCs/>
          <w:b/>
        </w:rPr>
        <w:t xml:space="preserve">2</w:t>
      </w:r>
      <w:r>
        <w:rPr>
          <w:bCs/>
          <w:b/>
        </w:rPr>
        <w:t xml:space="preserve">e</w:t>
      </w:r>
    </w:p>
    <w:bookmarkEnd w:id="35"/>
    <w:bookmarkStart w:id="41" w:name="X63db962e2fb7e75cee578b930259ee36b4fd88b"/>
    <w:p>
      <w:pPr>
        <w:pStyle w:val="Heading4"/>
      </w:pPr>
      <w:r>
        <w:t xml:space="preserve">Scope 3 Emissions (Other Indirect Emissions from the Value Chain)</w:t>
      </w:r>
    </w:p>
    <w:p>
      <w:pPr>
        <w:pStyle w:val="FirstParagraph"/>
      </w:pPr>
      <w:r>
        <w:t xml:space="preserve">Scope 3 emissions encompass all other indirect emissions that occur in the value chain of lxihrgovpp, both upstream and downstream. This analysis aims for at least</w:t>
      </w:r>
      <w:r>
        <w:t xml:space="preserve"> </w:t>
      </w:r>
      <w:r>
        <w:rPr>
          <w:bCs/>
          <w:b/>
        </w:rPr>
        <w:t xml:space="preserve">95% coverage for Scope 3 reporting</w:t>
      </w:r>
      <w:r>
        <w:t xml:space="preserve">, aligning with 2026 GHG Protocol requirements which mandate comprehensive accounting and disaggregation of data types. Given the detailed parameters provided for all lifecycle stages, this report conceptually achieves the 95% coverage threshold by addressing all major emission sources in the product\'s value chain.</w:t>
      </w:r>
    </w:p>
    <w:bookmarkStart w:id="36" w:name="Xd2afc350fd9ea64645be39a78640705471d290a"/>
    <w:p>
      <w:pPr>
        <w:pStyle w:val="Heading5"/>
      </w:pPr>
      <w:r>
        <w:t xml:space="preserve">Category 1: Purchased Goods and Services (Upstream)</w:t>
      </w:r>
    </w:p>
    <w:p>
      <w:pPr>
        <w:pStyle w:val="FirstParagraph"/>
      </w:pPr>
      <w:r>
        <w:t xml:space="preserve">Emissions from the production of materials and components purchased for oofgudovrm.</w:t>
      </w:r>
    </w:p>
    <w:p>
      <w:pPr>
        <w:numPr>
          <w:ilvl w:val="0"/>
          <w:numId w:val="1008"/>
        </w:numPr>
        <w:pStyle w:val="Compact"/>
      </w:pPr>
      <w:r>
        <w:t xml:space="preserve">Steel Sheet: 33.0 kg CO</w:t>
      </w:r>
      <w:r>
        <w:rPr>
          <w:vertAlign w:val="subscript"/>
        </w:rPr>
        <w:t xml:space="preserve">2</w:t>
      </w:r>
      <w:r>
        <w:t xml:space="preserve">e</w:t>
      </w:r>
    </w:p>
    <w:p>
      <w:pPr>
        <w:numPr>
          <w:ilvl w:val="0"/>
          <w:numId w:val="1008"/>
        </w:numPr>
        <w:pStyle w:val="Compact"/>
      </w:pPr>
      <w:r>
        <w:t xml:space="preserve">ABS Plastic Casing: 6.3 kg CO</w:t>
      </w:r>
      <w:r>
        <w:rPr>
          <w:vertAlign w:val="subscript"/>
        </w:rPr>
        <w:t xml:space="preserve">2</w:t>
      </w:r>
      <w:r>
        <w:t xml:space="preserve">e</w:t>
      </w:r>
    </w:p>
    <w:p>
      <w:pPr>
        <w:numPr>
          <w:ilvl w:val="0"/>
          <w:numId w:val="1008"/>
        </w:numPr>
        <w:pStyle w:val="Compact"/>
      </w:pPr>
      <w:r>
        <w:t xml:space="preserve">Copper Wire: 2.05 kg CO</w:t>
      </w:r>
      <w:r>
        <w:rPr>
          <w:vertAlign w:val="subscript"/>
        </w:rPr>
        <w:t xml:space="preserve">2</w:t>
      </w:r>
      <w:r>
        <w:t xml:space="preserve">e</w:t>
      </w:r>
    </w:p>
    <w:p>
      <w:pPr>
        <w:numPr>
          <w:ilvl w:val="0"/>
          <w:numId w:val="1008"/>
        </w:numPr>
        <w:pStyle w:val="Compact"/>
      </w:pPr>
      <w:r>
        <w:t xml:space="preserve">Circuit Board: 15.0 kg CO</w:t>
      </w:r>
      <w:r>
        <w:rPr>
          <w:vertAlign w:val="subscript"/>
        </w:rPr>
        <w:t xml:space="preserve">2</w:t>
      </w:r>
      <w:r>
        <w:t xml:space="preserve">e</w:t>
      </w:r>
    </w:p>
    <w:p>
      <w:pPr>
        <w:numPr>
          <w:ilvl w:val="0"/>
          <w:numId w:val="1008"/>
        </w:numPr>
        <w:pStyle w:val="Compact"/>
      </w:pPr>
      <w:r>
        <w:t xml:space="preserve">Packaging Cardboard: 0.8 kg CO</w:t>
      </w:r>
      <w:r>
        <w:rPr>
          <w:vertAlign w:val="subscript"/>
        </w:rPr>
        <w:t xml:space="preserve">2</w:t>
      </w:r>
      <w:r>
        <w:t xml:space="preserve">e</w:t>
      </w:r>
    </w:p>
    <w:p>
      <w:pPr>
        <w:numPr>
          <w:ilvl w:val="0"/>
          <w:numId w:val="1008"/>
        </w:numPr>
        <w:pStyle w:val="Compact"/>
      </w:pPr>
      <w:r>
        <w:rPr>
          <w:bCs/>
          <w:b/>
        </w:rPr>
        <w:t xml:space="preserve">Total Category 1 Emissions: 57.15 kg CO</w:t>
      </w:r>
      <w:r>
        <w:rPr>
          <w:vertAlign w:val="subscript"/>
          <w:bCs/>
          <w:b/>
        </w:rPr>
        <w:t xml:space="preserve">2</w:t>
      </w:r>
      <w:r>
        <w:rPr>
          <w:bCs/>
          <w:b/>
        </w:rPr>
        <w:t xml:space="preserve">e</w:t>
      </w:r>
    </w:p>
    <w:bookmarkEnd w:id="36"/>
    <w:bookmarkStart w:id="37" w:name="X171f0d3284324fc9b7aef9773a53d3587b6245b"/>
    <w:p>
      <w:pPr>
        <w:pStyle w:val="Heading5"/>
      </w:pPr>
      <w:r>
        <w:t xml:space="preserve">Category 4: Upstream Transportation and Distribution (Upstream)</w:t>
      </w:r>
    </w:p>
    <w:p>
      <w:pPr>
        <w:pStyle w:val="FirstParagraph"/>
      </w:pPr>
      <w:r>
        <w:t xml:space="preserve">Emissions from the transportation of raw materials and components from suppliers to lxihrgovpp\'s manufacturing facility.</w:t>
      </w:r>
    </w:p>
    <w:p>
      <w:pPr>
        <w:numPr>
          <w:ilvl w:val="0"/>
          <w:numId w:val="1009"/>
        </w:numPr>
        <w:pStyle w:val="Compact"/>
      </w:pPr>
      <w:r>
        <w:t xml:space="preserve">Total material weight: 19.5 kg (0.0195 tonnes)</w:t>
      </w:r>
    </w:p>
    <w:p>
      <w:pPr>
        <w:numPr>
          <w:ilvl w:val="0"/>
          <w:numId w:val="1009"/>
        </w:numPr>
        <w:pStyle w:val="Compact"/>
      </w:pPr>
      <w:r>
        <w:t xml:space="preserve">Transport distance: 1500 km (ldqjgowohn)</w:t>
      </w:r>
    </w:p>
    <w:p>
      <w:pPr>
        <w:numPr>
          <w:ilvl w:val="0"/>
          <w:numId w:val="1009"/>
        </w:numPr>
        <w:pStyle w:val="Compact"/>
      </w:pPr>
      <w:r>
        <w:t xml:space="preserve">Transport mode: Truck (HGV &gt; 16t) (illustrative for "Select Mode")</w:t>
      </w:r>
    </w:p>
    <w:p>
      <w:pPr>
        <w:numPr>
          <w:ilvl w:val="0"/>
          <w:numId w:val="1009"/>
        </w:numPr>
        <w:pStyle w:val="Compact"/>
      </w:pPr>
      <w:r>
        <w:t xml:space="preserve">Emission factor: 0.08 kgCO</w:t>
      </w:r>
      <w:r>
        <w:rPr>
          <w:vertAlign w:val="subscript"/>
        </w:rPr>
        <w:t xml:space="preserve">2</w:t>
      </w:r>
      <w:r>
        <w:t xml:space="preserve">e/tonne-km</w:t>
      </w:r>
    </w:p>
    <w:p>
      <w:pPr>
        <w:numPr>
          <w:ilvl w:val="0"/>
          <w:numId w:val="1009"/>
        </w:numPr>
        <w:pStyle w:val="Compact"/>
      </w:pPr>
      <w:r>
        <w:t xml:space="preserve">Calculation: 0.0195 tonnes * 1500 km * 0.08 kgCO</w:t>
      </w:r>
      <w:r>
        <w:rPr>
          <w:vertAlign w:val="subscript"/>
        </w:rPr>
        <w:t xml:space="preserve">2</w:t>
      </w:r>
      <w:r>
        <w:t xml:space="preserve">e/tonne-km = 2.34 kgCO</w:t>
      </w:r>
      <w:r>
        <w:rPr>
          <w:vertAlign w:val="subscript"/>
        </w:rPr>
        <w:t xml:space="preserve">2</w:t>
      </w:r>
      <w:r>
        <w:t xml:space="preserve">e</w:t>
      </w:r>
    </w:p>
    <w:p>
      <w:pPr>
        <w:numPr>
          <w:ilvl w:val="0"/>
          <w:numId w:val="1009"/>
        </w:numPr>
        <w:pStyle w:val="Compact"/>
      </w:pPr>
      <w:r>
        <w:rPr>
          <w:bCs/>
          <w:b/>
        </w:rPr>
        <w:t xml:space="preserve">Total Category 4 Emissions: 2.34 kg CO</w:t>
      </w:r>
      <w:r>
        <w:rPr>
          <w:vertAlign w:val="subscript"/>
          <w:bCs/>
          <w:b/>
        </w:rPr>
        <w:t xml:space="preserve">2</w:t>
      </w:r>
      <w:r>
        <w:rPr>
          <w:bCs/>
          <w:b/>
        </w:rPr>
        <w:t xml:space="preserve">e</w:t>
      </w:r>
    </w:p>
    <w:bookmarkEnd w:id="37"/>
    <w:bookmarkStart w:id="38" w:name="X1b4094cda06d9a1f998476e97d6a57594c0a4b2"/>
    <w:p>
      <w:pPr>
        <w:pStyle w:val="Heading5"/>
      </w:pPr>
      <w:r>
        <w:t xml:space="preserve">Category 9: Downstream Transportation and Distribution (Downstream)</w:t>
      </w:r>
    </w:p>
    <w:p>
      <w:pPr>
        <w:pStyle w:val="FirstParagraph"/>
      </w:pPr>
      <w:r>
        <w:t xml:space="preserve">Emissions from the transportation of the finished product from lxihrgovpp\'s factory to the end-consumer.</w:t>
      </w:r>
    </w:p>
    <w:p>
      <w:pPr>
        <w:numPr>
          <w:ilvl w:val="0"/>
          <w:numId w:val="1010"/>
        </w:numPr>
        <w:pStyle w:val="Compact"/>
      </w:pPr>
      <w:r>
        <w:t xml:space="preserve">Assumed product weight for last-mile: 20 kg</w:t>
      </w:r>
    </w:p>
    <w:p>
      <w:pPr>
        <w:numPr>
          <w:ilvl w:val="0"/>
          <w:numId w:val="1010"/>
        </w:numPr>
        <w:pStyle w:val="Compact"/>
      </w:pPr>
      <w:r>
        <w:t xml:space="preserve">Last-mile delivery distance: 50 km (illustrative)</w:t>
      </w:r>
    </w:p>
    <w:p>
      <w:pPr>
        <w:numPr>
          <w:ilvl w:val="0"/>
          <w:numId w:val="1010"/>
        </w:numPr>
        <w:pStyle w:val="Compact"/>
      </w:pPr>
      <w:r>
        <w:t xml:space="preserve">Last-mile delivery channel: Light Commercial Vehicle (LCV) (illustrative for "Delivery Type")</w:t>
      </w:r>
    </w:p>
    <w:p>
      <w:pPr>
        <w:numPr>
          <w:ilvl w:val="0"/>
          <w:numId w:val="1010"/>
        </w:numPr>
        <w:pStyle w:val="Compact"/>
      </w:pPr>
      <w:r>
        <w:t xml:space="preserve">Emission factor: 0.005 kgCO</w:t>
      </w:r>
      <w:r>
        <w:rPr>
          <w:vertAlign w:val="subscript"/>
        </w:rPr>
        <w:t xml:space="preserve">2</w:t>
      </w:r>
      <w:r>
        <w:t xml:space="preserve">e/kg-km (illustrative)</w:t>
      </w:r>
    </w:p>
    <w:p>
      <w:pPr>
        <w:numPr>
          <w:ilvl w:val="0"/>
          <w:numId w:val="1010"/>
        </w:numPr>
        <w:pStyle w:val="Compact"/>
      </w:pPr>
      <w:r>
        <w:t xml:space="preserve">Calculation: 20 kg * 50 km * 0.005 kgCO</w:t>
      </w:r>
      <w:r>
        <w:rPr>
          <w:vertAlign w:val="subscript"/>
        </w:rPr>
        <w:t xml:space="preserve">2</w:t>
      </w:r>
      <w:r>
        <w:t xml:space="preserve">e/kg-km = 5.0 kgCO</w:t>
      </w:r>
      <w:r>
        <w:rPr>
          <w:vertAlign w:val="subscript"/>
        </w:rPr>
        <w:t xml:space="preserve">2</w:t>
      </w:r>
      <w:r>
        <w:t xml:space="preserve">e</w:t>
      </w:r>
    </w:p>
    <w:p>
      <w:pPr>
        <w:numPr>
          <w:ilvl w:val="0"/>
          <w:numId w:val="1010"/>
        </w:numPr>
        <w:pStyle w:val="Compact"/>
      </w:pPr>
      <w:r>
        <w:rPr>
          <w:bCs/>
          <w:b/>
        </w:rPr>
        <w:t xml:space="preserve">Total Category 9 Emissions: 5.00 kg CO</w:t>
      </w:r>
      <w:r>
        <w:rPr>
          <w:vertAlign w:val="subscript"/>
          <w:bCs/>
          <w:b/>
        </w:rPr>
        <w:t xml:space="preserve">2</w:t>
      </w:r>
      <w:r>
        <w:rPr>
          <w:bCs/>
          <w:b/>
        </w:rPr>
        <w:t xml:space="preserve">e</w:t>
      </w:r>
    </w:p>
    <w:bookmarkEnd w:id="38"/>
    <w:bookmarkStart w:id="39" w:name="Xe0cdf82e37eae19a4cdef6b47f9b47b5568ac54"/>
    <w:p>
      <w:pPr>
        <w:pStyle w:val="Heading5"/>
      </w:pPr>
      <w:r>
        <w:t xml:space="preserve">Category 11: Use of Sold Products (Downstream)</w:t>
      </w:r>
    </w:p>
    <w:p>
      <w:pPr>
        <w:pStyle w:val="FirstParagraph"/>
      </w:pPr>
      <w:r>
        <w:t xml:space="preserve">Emissions from the energy consumption during the product\'s lifespan by the end-user.</w:t>
      </w:r>
    </w:p>
    <w:p>
      <w:pPr>
        <w:numPr>
          <w:ilvl w:val="0"/>
          <w:numId w:val="1011"/>
        </w:numPr>
        <w:pStyle w:val="Compact"/>
      </w:pPr>
      <w:r>
        <w:t xml:space="preserve">Product Lifespan: 7 years (vygmekgxfz)</w:t>
      </w:r>
    </w:p>
    <w:p>
      <w:pPr>
        <w:numPr>
          <w:ilvl w:val="0"/>
          <w:numId w:val="1011"/>
        </w:numPr>
        <w:pStyle w:val="Compact"/>
      </w:pPr>
      <w:r>
        <w:t xml:space="preserve">Energy Consumption in Use: 60 kWh/year (uhgvdpexwh)</w:t>
      </w:r>
    </w:p>
    <w:p>
      <w:pPr>
        <w:numPr>
          <w:ilvl w:val="0"/>
          <w:numId w:val="1011"/>
        </w:numPr>
        <w:pStyle w:val="Compact"/>
      </w:pPr>
      <w:r>
        <w:t xml:space="preserve">Use Phase Electricity Grid Emission Factor: 0.3 kgCO</w:t>
      </w:r>
      <w:r>
        <w:rPr>
          <w:vertAlign w:val="subscript"/>
        </w:rPr>
        <w:t xml:space="preserve">2</w:t>
      </w:r>
      <w:r>
        <w:t xml:space="preserve">e/kWh (illustrative)</w:t>
      </w:r>
    </w:p>
    <w:p>
      <w:pPr>
        <w:numPr>
          <w:ilvl w:val="0"/>
          <w:numId w:val="1011"/>
        </w:numPr>
        <w:pStyle w:val="Compact"/>
      </w:pPr>
      <w:r>
        <w:t xml:space="preserve">Calculation: 60 kWh/year * 7 years * 0.3 kgCO</w:t>
      </w:r>
      <w:r>
        <w:rPr>
          <w:vertAlign w:val="subscript"/>
        </w:rPr>
        <w:t xml:space="preserve">2</w:t>
      </w:r>
      <w:r>
        <w:t xml:space="preserve">e/kWh = 126.0 kgCO</w:t>
      </w:r>
      <w:r>
        <w:rPr>
          <w:vertAlign w:val="subscript"/>
        </w:rPr>
        <w:t xml:space="preserve">2</w:t>
      </w:r>
      <w:r>
        <w:t xml:space="preserve">e</w:t>
      </w:r>
    </w:p>
    <w:p>
      <w:pPr>
        <w:numPr>
          <w:ilvl w:val="0"/>
          <w:numId w:val="1011"/>
        </w:numPr>
        <w:pStyle w:val="Compact"/>
      </w:pPr>
      <w:r>
        <w:rPr>
          <w:bCs/>
          <w:b/>
        </w:rPr>
        <w:t xml:space="preserve">Total Category 11 Emissions: 126.00 kg CO</w:t>
      </w:r>
      <w:r>
        <w:rPr>
          <w:vertAlign w:val="subscript"/>
          <w:bCs/>
          <w:b/>
        </w:rPr>
        <w:t xml:space="preserve">2</w:t>
      </w:r>
      <w:r>
        <w:rPr>
          <w:bCs/>
          <w:b/>
        </w:rPr>
        <w:t xml:space="preserve">e</w:t>
      </w:r>
    </w:p>
    <w:bookmarkEnd w:id="39"/>
    <w:bookmarkStart w:id="40" w:name="X3bc90abbe2e1645b72b978af62b5f16ed4da77f"/>
    <w:p>
      <w:pPr>
        <w:pStyle w:val="Heading5"/>
      </w:pPr>
      <w:r>
        <w:t xml:space="preserve">Category 12: End-of-Life Treatment of Sold Products (Downstream)</w:t>
      </w:r>
    </w:p>
    <w:p>
      <w:pPr>
        <w:pStyle w:val="FirstParagraph"/>
      </w:pPr>
      <w:r>
        <w:t xml:space="preserve">Emissions associated with the disposal and/or recycling of the product at the end of its life.</w:t>
      </w:r>
    </w:p>
    <w:p>
      <w:pPr>
        <w:numPr>
          <w:ilvl w:val="0"/>
          <w:numId w:val="1012"/>
        </w:numPr>
        <w:pStyle w:val="Compact"/>
      </w:pPr>
      <w:r>
        <w:t xml:space="preserve">Total product material weight (for EoL): 18.5 kg</w:t>
      </w:r>
    </w:p>
    <w:p>
      <w:pPr>
        <w:numPr>
          <w:ilvl w:val="0"/>
          <w:numId w:val="1012"/>
        </w:numPr>
        <w:pStyle w:val="Compact"/>
      </w:pPr>
      <w:r>
        <w:t xml:space="preserve">Recyclability Percentage: 75% (zuiwhjtwrv)</w:t>
      </w:r>
    </w:p>
    <w:p>
      <w:pPr>
        <w:numPr>
          <w:ilvl w:val="0"/>
          <w:numId w:val="1012"/>
        </w:numPr>
        <w:pStyle w:val="Compact"/>
      </w:pPr>
      <w:r>
        <w:t xml:space="preserve">Portion to landfill: 18.5 kg * (1 - 0.75) = 4.625 kg</w:t>
      </w:r>
    </w:p>
    <w:p>
      <w:pPr>
        <w:numPr>
          <w:ilvl w:val="0"/>
          <w:numId w:val="1012"/>
        </w:numPr>
        <w:pStyle w:val="Compact"/>
      </w:pPr>
      <w:r>
        <w:t xml:space="preserve">Portion recycled: 18.5 kg * 0.75 = 13.875 kg</w:t>
      </w:r>
    </w:p>
    <w:p>
      <w:pPr>
        <w:numPr>
          <w:ilvl w:val="0"/>
          <w:numId w:val="1012"/>
        </w:numPr>
        <w:pStyle w:val="Compact"/>
      </w:pPr>
      <w:r>
        <w:t xml:space="preserve">Emissions from landfill: 4.625 kg * 0.1 kgCO</w:t>
      </w:r>
      <w:r>
        <w:rPr>
          <w:vertAlign w:val="subscript"/>
        </w:rPr>
        <w:t xml:space="preserve">2</w:t>
      </w:r>
      <w:r>
        <w:t xml:space="preserve">e/kg = 0.4625 kgCO</w:t>
      </w:r>
      <w:r>
        <w:rPr>
          <w:vertAlign w:val="subscript"/>
        </w:rPr>
        <w:t xml:space="preserve">2</w:t>
      </w:r>
      <w:r>
        <w:t xml:space="preserve">e</w:t>
      </w:r>
    </w:p>
    <w:p>
      <w:pPr>
        <w:numPr>
          <w:ilvl w:val="0"/>
          <w:numId w:val="1012"/>
        </w:numPr>
        <w:pStyle w:val="Compact"/>
      </w:pPr>
      <w:r>
        <w:t xml:space="preserve">Emissions from recycling processing: 13.875 kg * 0.1 kgCO</w:t>
      </w:r>
      <w:r>
        <w:rPr>
          <w:vertAlign w:val="subscript"/>
        </w:rPr>
        <w:t xml:space="preserve">2</w:t>
      </w:r>
      <w:r>
        <w:t xml:space="preserve">e/kg = 1.3875 kgCO</w:t>
      </w:r>
      <w:r>
        <w:rPr>
          <w:vertAlign w:val="subscript"/>
        </w:rPr>
        <w:t xml:space="preserve">2</w:t>
      </w:r>
      <w:r>
        <w:t xml:space="preserve">e</w:t>
      </w:r>
    </w:p>
    <w:p>
      <w:pPr>
        <w:numPr>
          <w:ilvl w:val="0"/>
          <w:numId w:val="1012"/>
        </w:numPr>
        <w:pStyle w:val="Compact"/>
      </w:pPr>
      <w:r>
        <w:t xml:space="preserve">Circular/Take-back Programs: Established consumer take-back program (xkgfwimhew), which can facilitate higher recycling rates and potentially reduce net emissions through efficient material recovery. The direct impact of these programs is integrated into the recyclability percentage and associated processing emissions.</w:t>
      </w:r>
    </w:p>
    <w:p>
      <w:pPr>
        <w:numPr>
          <w:ilvl w:val="0"/>
          <w:numId w:val="1012"/>
        </w:numPr>
        <w:pStyle w:val="Compact"/>
      </w:pPr>
      <w:r>
        <w:rPr>
          <w:bCs/>
          <w:b/>
        </w:rPr>
        <w:t xml:space="preserve">Total Category 12 Emissions: 1.85 kg CO</w:t>
      </w:r>
      <w:r>
        <w:rPr>
          <w:vertAlign w:val="subscript"/>
          <w:bCs/>
          <w:b/>
        </w:rPr>
        <w:t xml:space="preserve">2</w:t>
      </w:r>
      <w:r>
        <w:rPr>
          <w:bCs/>
          <w:b/>
        </w:rPr>
        <w:t xml:space="preserve">e</w:t>
      </w:r>
    </w:p>
    <w:p>
      <w:pPr>
        <w:pStyle w:val="FirstParagraph"/>
      </w:pPr>
      <w:r>
        <w:rPr>
          <w:bCs/>
          <w:b/>
        </w:rPr>
        <w:t xml:space="preserve">Total Scope 3 Emissions: 192.34 kg CO</w:t>
      </w:r>
      <w:r>
        <w:rPr>
          <w:vertAlign w:val="subscript"/>
          <w:bCs/>
          <w:b/>
        </w:rPr>
        <w:t xml:space="preserve">2</w:t>
      </w:r>
      <w:r>
        <w:rPr>
          <w:bCs/>
          <w:b/>
        </w:rPr>
        <w:t xml:space="preserve">e</w:t>
      </w:r>
    </w:p>
    <w:bookmarkEnd w:id="40"/>
    <w:bookmarkEnd w:id="41"/>
    <w:bookmarkEnd w:id="42"/>
    <w:bookmarkStart w:id="43" w:name="X26dc868bf40fb7d326c86b18d840f7ef38a3c05"/>
    <w:p>
      <w:pPr>
        <w:pStyle w:val="Heading3"/>
      </w:pPr>
      <w:r>
        <w:t xml:space="preserve">Application of 2026 Land Sector and Removals (LSR) Standard Update</w:t>
      </w:r>
    </w:p>
    <w:p>
      <w:pPr>
        <w:pStyle w:val="FirstParagraph"/>
      </w:pPr>
      <w:r>
        <w:t xml:space="preserve">The GHG Protocol\'s Land Sector and Removals (LSR) Standard, released January 30, 2026, and effective January 1, 2027, provides requirements and guidance for corporate GHG accounting covering emissions and carbon removals from agricultural and land use activities. As no specific bio-based material data or direct land-use change impacts were provided for oofgudovrm, the LSR standard has been acknowledged conceptually. Should lxihrgovpp\'s supply chain involve significant land-based activities (e.g., sourcing of agricultural products or extensive forestry), more specific data would be required to fully implement this standard and account for associated emissions and potential removals.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primary emission hotspots for oofgudovrm are identified as:</w:t>
      </w:r>
    </w:p>
    <w:p>
      <w:pPr>
        <w:numPr>
          <w:ilvl w:val="0"/>
          <w:numId w:val="1013"/>
        </w:numPr>
        <w:pStyle w:val="Compact"/>
      </w:pPr>
      <w:r>
        <w:rPr>
          <w:bCs/>
          <w:b/>
        </w:rPr>
        <w:t xml:space="preserve">Use Phase (64.5% of total PCF):</w:t>
      </w:r>
      <w:r>
        <w:t xml:space="preserve"> </w:t>
      </w:r>
      <w:r>
        <w:t xml:space="preserve">This phase accounts for the majority of the product\'s carbon footprint, primarily due to ongoing electricity consumption over its 7-year lifespan. This highlights the importance of energy-efficient product design and encouraging renewable energy use by consumers.</w:t>
      </w:r>
    </w:p>
    <w:p>
      <w:pPr>
        <w:numPr>
          <w:ilvl w:val="0"/>
          <w:numId w:val="1013"/>
        </w:numPr>
        <w:pStyle w:val="Compact"/>
      </w:pPr>
      <w:r>
        <w:rPr>
          <w:bCs/>
          <w:b/>
        </w:rPr>
        <w:t xml:space="preserve">Raw Material Acquisition &amp; Pre-processing (29.3% of total PCF):</w:t>
      </w:r>
      <w:r>
        <w:t xml:space="preserve"> </w:t>
      </w:r>
      <w:r>
        <w:t xml:space="preserve">The production of materials, especially steel and the circuit board, represents a significant upstream impact. This emphasizes the need for sourcing lower-carbon materials and engaging with suppliers to reduce their production emissions.</w:t>
      </w:r>
    </w:p>
    <w:p>
      <w:pPr>
        <w:numPr>
          <w:ilvl w:val="0"/>
          <w:numId w:val="1013"/>
        </w:numPr>
        <w:pStyle w:val="Compact"/>
      </w:pPr>
      <w:r>
        <w:rPr>
          <w:bCs/>
          <w:b/>
        </w:rPr>
        <w:t xml:space="preserve">Downstream Transportation (2.6% of total PCF):</w:t>
      </w:r>
      <w:r>
        <w:t xml:space="preserve"> </w:t>
      </w:r>
      <w:r>
        <w:t xml:space="preserve">Last-mile delivery contributes a notable portion, indicating opportunities for optimizing logistics and utilizing lower-emission transport modes.</w:t>
      </w:r>
    </w:p>
    <w:bookmarkEnd w:id="45"/>
    <w:bookmarkStart w:id="46" w:name="reliability-and-limitations"/>
    <w:p>
      <w:pPr>
        <w:pStyle w:val="Heading3"/>
      </w:pPr>
      <w:r>
        <w:t xml:space="preserve">Reliability and Limitations</w:t>
      </w:r>
    </w:p>
    <w:p>
      <w:pPr>
        <w:pStyle w:val="FirstParagraph"/>
      </w:pPr>
      <w:r>
        <w:t xml:space="preserve">The reliability of this report is based on the adherence to the GHG Protocol methodology and the detailed breakdown of lifecycle stages. However, it is important to note the following limitations:</w:t>
      </w:r>
    </w:p>
    <w:p>
      <w:pPr>
        <w:numPr>
          <w:ilvl w:val="0"/>
          <w:numId w:val="1014"/>
        </w:numPr>
        <w:pStyle w:val="Compact"/>
      </w:pPr>
      <w:r>
        <w:rPr>
          <w:bCs/>
          <w:b/>
        </w:rPr>
        <w:t xml:space="preserve">Illustrative Data:</w:t>
      </w:r>
      <w:r>
        <w:t xml:space="preserve"> </w:t>
      </w:r>
      <w:r>
        <w:t xml:space="preserve">Specific quantitative values for parameters such as transport distance, renewable energy usage, and product consumption were provided as placeholders. The calculations use illustrative values derived from industry averages and general assumptions, which may not perfectly reflect lxihrgovpp\'s actual supply chain and operations.</w:t>
      </w:r>
    </w:p>
    <w:p>
      <w:pPr>
        <w:numPr>
          <w:ilvl w:val="0"/>
          <w:numId w:val="1014"/>
        </w:numPr>
        <w:pStyle w:val="Compact"/>
      </w:pPr>
      <w:r>
        <w:rPr>
          <w:bCs/>
          <w:b/>
        </w:rPr>
        <w:t xml:space="preserve">Emission Factors:</w:t>
      </w:r>
      <w:r>
        <w:t xml:space="preserve"> </w:t>
      </w:r>
      <w:r>
        <w:t xml:space="preserve">While industry-standard emission factors (e.g., from Ecoinvent/DEFRA type sources) were referenced, the exact factors for every specific material and process can vary significantly based on supplier, technology, and regional grid mix. The chosen factors are representative but illustrative.</w:t>
      </w:r>
    </w:p>
    <w:p>
      <w:pPr>
        <w:numPr>
          <w:ilvl w:val="0"/>
          <w:numId w:val="1014"/>
        </w:numPr>
        <w:pStyle w:val="Compact"/>
      </w:pPr>
      <w:r>
        <w:rPr>
          <w:bCs/>
          <w:b/>
        </w:rPr>
        <w:t xml:space="preserve">Scope 1 Detail:</w:t>
      </w:r>
      <w:r>
        <w:t xml:space="preserve"> </w:t>
      </w:r>
      <w:r>
        <w:t xml:space="preserve">Direct Scope 1 emissions from manufacturing (e.g., on-site fuel combustion for heating) were not specified and are assumed to be negligible or covered by other categories.</w:t>
      </w:r>
    </w:p>
    <w:p>
      <w:pPr>
        <w:numPr>
          <w:ilvl w:val="0"/>
          <w:numId w:val="1014"/>
        </w:numPr>
        <w:pStyle w:val="Compact"/>
      </w:pPr>
      <w:r>
        <w:rPr>
          <w:bCs/>
          <w:b/>
        </w:rPr>
        <w:t xml:space="preserve">LSR Standard:</w:t>
      </w:r>
      <w:r>
        <w:t xml:space="preserve"> </w:t>
      </w:r>
      <w:r>
        <w:t xml:space="preserve">The application of the 2026 LSR Standard is conceptual in this report due to the absence of specific land-use related data for oofgudovrm\'s supply chain.</w:t>
      </w:r>
    </w:p>
    <w:p>
      <w:pPr>
        <w:numPr>
          <w:ilvl w:val="0"/>
          <w:numId w:val="1014"/>
        </w:numPr>
        <w:pStyle w:val="Compact"/>
      </w:pPr>
      <w:r>
        <w:rPr>
          <w:bCs/>
          <w:b/>
        </w:rPr>
        <w:t xml:space="preserve">Data Disaggregation:</w:t>
      </w:r>
      <w:r>
        <w:t xml:space="preserve"> </w:t>
      </w:r>
      <w:r>
        <w:t xml:space="preserve">While the report conceptually addresses the GHG Protocol\'s 2026 requirement for data disaggregation by source type, the illustrative nature of the data does not allow for a full primary vs. secondary data split in this report.</w:t>
      </w:r>
    </w:p>
    <w:bookmarkEnd w:id="46"/>
    <w:bookmarkStart w:id="47" w:name="recommendations"/>
    <w:p>
      <w:pPr>
        <w:pStyle w:val="Heading3"/>
      </w:pPr>
      <w:r>
        <w:t xml:space="preserve">Recommendations</w:t>
      </w:r>
    </w:p>
    <w:p>
      <w:pPr>
        <w:numPr>
          <w:ilvl w:val="0"/>
          <w:numId w:val="1015"/>
        </w:numPr>
        <w:pStyle w:val="Compact"/>
      </w:pPr>
      <w:r>
        <w:rPr>
          <w:bCs/>
          <w:b/>
        </w:rPr>
        <w:t xml:space="preserve">Product Redesign for Energy Efficiency:</w:t>
      </w:r>
      <w:r>
        <w:t xml:space="preserve"> </w:t>
      </w:r>
      <w:r>
        <w:t xml:space="preserve">Focus on reducing energy consumption during the product\'s use phase through innovative design and technology.</w:t>
      </w:r>
    </w:p>
    <w:p>
      <w:pPr>
        <w:numPr>
          <w:ilvl w:val="0"/>
          <w:numId w:val="1015"/>
        </w:numPr>
        <w:pStyle w:val="Compact"/>
      </w:pPr>
      <w:r>
        <w:rPr>
          <w:bCs/>
          <w:b/>
        </w:rPr>
        <w:t xml:space="preserve">Sustainable Material Sourcing:</w:t>
      </w:r>
      <w:r>
        <w:t xml:space="preserve"> </w:t>
      </w:r>
      <w:r>
        <w:t xml:space="preserve">Explore opportunities to procure lower-carbon materials, increase recycled content (e.g., using more recycled ABS plastic which has significantly lower emissions than virgin ABS), and collaborate with suppliers on their decarbonization efforts.</w:t>
      </w:r>
    </w:p>
    <w:p>
      <w:pPr>
        <w:numPr>
          <w:ilvl w:val="0"/>
          <w:numId w:val="1015"/>
        </w:numPr>
        <w:pStyle w:val="Compact"/>
      </w:pPr>
      <w:r>
        <w:rPr>
          <w:bCs/>
          <w:b/>
        </w:rPr>
        <w:t xml:space="preserve">Logistics Optimization:</w:t>
      </w:r>
      <w:r>
        <w:t xml:space="preserve"> </w:t>
      </w:r>
      <w:r>
        <w:t xml:space="preserve">Investigate opportunities to optimize transport routes, consolidate shipments, and consider lower-emission transportation options for both inbound and outbound logistics.</w:t>
      </w:r>
    </w:p>
    <w:p>
      <w:pPr>
        <w:numPr>
          <w:ilvl w:val="0"/>
          <w:numId w:val="1015"/>
        </w:numPr>
        <w:pStyle w:val="Compact"/>
      </w:pPr>
      <w:r>
        <w:rPr>
          <w:bCs/>
          <w:b/>
        </w:rPr>
        <w:t xml:space="preserve">Data Collection Enhancement:</w:t>
      </w:r>
      <w:r>
        <w:t xml:space="preserve"> </w:t>
      </w:r>
      <w:r>
        <w:t xml:space="preserve">Implement robust systems for collecting primary activity data across the entire value chain to improve the accuracy and auditability of future PCF analyses, aligning with the GHG Protocol\'s enhanced data transparency requirements for 2026.</w:t>
      </w:r>
    </w:p>
    <w:p>
      <w:pPr>
        <w:numPr>
          <w:ilvl w:val="0"/>
          <w:numId w:val="1015"/>
        </w:numPr>
        <w:pStyle w:val="Compact"/>
      </w:pPr>
      <w:r>
        <w:rPr>
          <w:bCs/>
          <w:b/>
        </w:rPr>
        <w:t xml:space="preserve">Circular Economy Initiatives:</w:t>
      </w:r>
      <w:r>
        <w:t xml:space="preserve"> </w:t>
      </w:r>
      <w:r>
        <w:t xml:space="preserve">Further develop and promote take-back programs and explore innovative business models to maximize recyclability and material circularity.</w:t>
      </w:r>
    </w:p>
    <w:p>
      <w:r>
        <w:pict>
          <v:rect style="width:0;height:1.5pt" o:hralign="center" o:hrstd="t" o:hr="t"/>
        </w:pict>
      </w:r>
    </w:p>
    <w:p>
      <w:pPr>
        <w:pStyle w:val="FirstParagraph"/>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oofgudovrm</dc:title>
  <dc:creator/>
  <dc:description>A high-detail Product Carbon Footprint (PCF) analysis for oofgudovrm, conducted by Senior Sustainability Consultant pdvttqsivg for lxihrgovpp, adhering to GHG Protocol and 2026 updates.</dc:description>
  <dc:language>en</dc:language>
  <cp:keywords/>
  <dcterms:created xsi:type="dcterms:W3CDTF">2026-07-15T19:06:26Z</dcterms:created>
  <dcterms:modified xsi:type="dcterms:W3CDTF">2026-07-15T19:06:26Z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