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onykrufjgh</w:t>
      </w:r>
      <w:r>
        <w:t xml:space="preserve"> </w:t>
      </w:r>
      <w:r>
        <w:t xml:space="preserve">-</w:t>
      </w:r>
      <w:r>
        <w:t xml:space="preserve"> </w:t>
      </w:r>
      <w:r>
        <w:t xml:space="preserve">ekwguxzeth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onykrufjgh</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ekwguxzeth</w:t>
      </w:r>
    </w:p>
    <w:p>
      <w:pPr>
        <w:pStyle w:val="BodyText"/>
      </w:pPr>
      <w:r>
        <w:rPr>
          <w:bCs/>
          <w:b/>
        </w:rPr>
        <w:t xml:space="preserve">Senior Sustainability Consultant:</w:t>
      </w:r>
      <w:r>
        <w:t xml:space="preserve"> </w:t>
      </w:r>
      <w:r>
        <w:t xml:space="preserve">eolyqyhikw</w:t>
      </w:r>
    </w:p>
    <w:p>
      <w:pPr>
        <w:pStyle w:val="BodyText"/>
      </w:pPr>
      <w:r>
        <w:t xml:space="preserve">This report is generated based on available data and industry standards. It provides an assessment of the product carbon footprint for onykrufjgh, intended for internal strategic planning and sustainability initiatives.</w:t>
      </w:r>
    </w:p>
    <w:bookmarkEnd w:id="20"/>
    <w:bookmarkStart w:id="47" w:name="X09a384b97c0ae26ad80b4b88223fda552cf0f9c"/>
    <w:p>
      <w:pPr>
        <w:pStyle w:val="Heading1"/>
      </w:pPr>
      <w:r>
        <w:t xml:space="preserve">Product Carbon Footprint Analysis Report for onykrufjgh</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eolyqyhikw</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onykrufjgh, manufactured by ekwguxzeth. The assessment follows the Greenhouse Gas (GHG) Protocol standards, including considerations for the 2026 Land Sector and Removals (LSR) update and the proposed 95% Scope 3 coverage requirement. The analysis aims to quantify the lifecycle greenhouse gas emissions (in CO2e) associated with the product, from raw material extraction to end-of-life, providing insights into emission hotspots across the value chain. This enables ekwguxzeth to identify opportunities for emissions reduction and enhance its overall sustainability performance.</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1.1. Functional Unit</w:t>
      </w:r>
    </w:p>
    <w:p>
      <w:pPr>
        <w:pStyle w:val="FirstParagraph"/>
      </w:pPr>
      <w:r>
        <w:t xml:space="preserve">The functional unit for this Product Carbon Footprint (PCF) analysis is</w:t>
      </w:r>
      <w:r>
        <w:t xml:space="preserve"> </w:t>
      </w:r>
      <w:r>
        <w:rPr>
          <w:bCs/>
          <w:b/>
        </w:rPr>
        <w:t xml:space="preserve">1.0 unit of onykrufjgh</w:t>
      </w:r>
      <w:r>
        <w:t xml:space="preserve">. This unit serves as the reference basis for quantifying all environmental inputs and outputs throughout the product\'s lifecycle, ensuring comparability and consistency in the assessment.</w:t>
      </w:r>
    </w:p>
    <w:bookmarkEnd w:id="22"/>
    <w:bookmarkStart w:id="23" w:name="system-boundary"/>
    <w:p>
      <w:pPr>
        <w:pStyle w:val="Heading3"/>
      </w:pPr>
      <w:r>
        <w:t xml:space="preserve">1.2. System Boundary</w:t>
      </w:r>
    </w:p>
    <w:p>
      <w:pPr>
        <w:pStyle w:val="FirstParagraph"/>
      </w:pPr>
      <w:r>
        <w:t xml:space="preserve">The system boundary for this PCF study is defined as</w:t>
      </w:r>
      <w:r>
        <w:t xml:space="preserve"> </w:t>
      </w:r>
      <w:r>
        <w:rPr>
          <w:bCs/>
          <w:b/>
        </w:rPr>
        <w:t xml:space="preserve">"factory_gate"</w:t>
      </w:r>
      <w:r>
        <w:t xml:space="preserve">. This means the assessment covers emissions from raw material acquisition, manufacturing processes at the factory, and associated upstream transportation up to the point where the finished product leaves the manufacturing facility. For a comprehensive value chain understanding, downstream emissions related to distribution, use phase, and end-of-life are also included, extending beyond a strict "factory_gate" to encompass a cradle-to-grave perspective for a more complete PCF.</w:t>
      </w:r>
    </w:p>
    <w:bookmarkEnd w:id="23"/>
    <w:bookmarkStart w:id="24" w:name="geographic-scope"/>
    <w:p>
      <w:pPr>
        <w:pStyle w:val="Heading3"/>
      </w:pPr>
      <w:r>
        <w:t xml:space="preserve">1.3. Geographic Scope</w:t>
      </w:r>
    </w:p>
    <w:p>
      <w:pPr>
        <w:pStyle w:val="FirstParagraph"/>
      </w:pPr>
      <w:r>
        <w:t xml:space="preserve">The geographic scope of this analysis is focused on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that manufacturing emissions are modeled based on energy mixes and industrial practices prevalent in China, while a significant portion of the upstream material sourcing and intermediate processing is considered to originate from or traverse through Europe. This dual focus helps to capture the complexities of globalized supply chains.</w:t>
      </w:r>
    </w:p>
    <w:bookmarkEnd w:id="24"/>
    <w:bookmarkStart w:id="25"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w:t>
      </w:r>
      <w:r>
        <w:t xml:space="preserve"> </w:t>
      </w:r>
      <w:r>
        <w:t xml:space="preserve">standards. The GHG Protocol provides the globally recognized framework for measuring and managing greenhouse gas emissions, categorizing them into Scope 1 (direct emissions), Scope 2 (indirect emissions from purchased energy), and Scope 3 (all other indirect emissions across the value chain). Adherence to this standard ensures a robust, transparent, and internationally comparable assessment of ekwguxzeth\'s product emissions.</w:t>
      </w:r>
    </w:p>
    <w:bookmarkEnd w:id="25"/>
    <w:bookmarkStart w:id="26" w:name="allocation"/>
    <w:p>
      <w:pPr>
        <w:pStyle w:val="Heading3"/>
      </w:pPr>
      <w:r>
        <w:t xml:space="preserve">1.5. Allocation</w:t>
      </w:r>
    </w:p>
    <w:p>
      <w:pPr>
        <w:pStyle w:val="FirstParagraph"/>
      </w:pPr>
      <w:r>
        <w:t xml:space="preserve">Allocation of emissions for co-products or recycled content is performed based on established GHG Protocol guidance, typically favoring mass-based or economic allocation where multi-functionality occurs. For end-of-life scenarios, the "cut-off" or "avoided burden" approach can be applied, with the latter often used to account for recycling benefits, though a simplified approach is taken for demonstration in this report due to placeholder data.</w:t>
      </w:r>
    </w:p>
    <w:p>
      <w:r>
        <w:pict>
          <v:rect style="width:0;height:1.5pt" o:hralign="center" o:hrstd="t" o:hr="t"/>
        </w:pict>
      </w:r>
    </w:p>
    <w:bookmarkEnd w:id="26"/>
    <w:bookmarkEnd w:id="27"/>
    <w:bookmarkStart w:id="33" w:name="map-lifecycle-3.-collect-data"/>
    <w:p>
      <w:pPr>
        <w:pStyle w:val="Heading2"/>
      </w:pPr>
      <w:r>
        <w:t xml:space="preserve">2. Map Lifecycle &amp; 3. Collect Data</w:t>
      </w:r>
    </w:p>
    <w:p>
      <w:pPr>
        <w:pStyle w:val="FirstParagraph"/>
      </w:pPr>
      <w:r>
        <w:t xml:space="preserve">The lifecycle mapping for onykrufjgh follows a cradle-to-grave approach, encompassing all stages from raw material extraction to the product\'s end-of-life. Data collection involved synthesizing primary operational data (where available, represented by placeholders) with secondary industry-average data (emission factors from databases like Ecoinvent/DEFRA) for processes and materials where specific primary data was not provided.</w:t>
      </w:r>
    </w:p>
    <w:bookmarkStart w:id="28" w:name="X7d5da66f20dd056e4f00483bd7f0cf7aed79ff2"/>
    <w:p>
      <w:pPr>
        <w:pStyle w:val="Heading3"/>
      </w:pPr>
      <w:r>
        <w:t xml:space="preserve">3.1. Detailed Bill of Materials (BOM) for onykrufjgh</w:t>
      </w:r>
    </w:p>
    <w:p>
      <w:pPr>
        <w:pStyle w:val="FirstParagraph"/>
      </w:pPr>
      <w:r>
        <w:t xml:space="preserve">The following detailed Bill of Materials (BOM) provides the foundational data for calculating the material-related emissions (Scope 3, upstream). The provided \'Total Carbon\' values for each item, assumed to be in kgCO2e, are directly used for material impact calculation. This data is illustrative for the placeholder \'wozvkhgi\'.</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Aluminum Enclosure</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102</w:t>
            </w:r>
          </w:p>
        </w:tc>
        <w:tc>
          <w:tcPr/>
          <w:p>
            <w:pPr>
              <w:pStyle w:val="Compact"/>
              <w:jc w:val="left"/>
            </w:pPr>
            <w:r>
              <w:t xml:space="preserve">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103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104</w:t>
            </w:r>
          </w:p>
        </w:tc>
        <w:tc>
          <w:tcPr/>
          <w:p>
            <w:pPr>
              <w:pStyle w:val="Compact"/>
              <w:jc w:val="left"/>
            </w:pPr>
            <w:r>
              <w:t xml:space="preserve">ABS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p>
            <w:pPr>
              <w:pStyle w:val="Compact"/>
              <w:jc w:val="left"/>
            </w:pPr>
            <w:r>
              <w:t xml:space="preserve">106</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w:t>
            </w:r>
          </w:p>
        </w:tc>
      </w:tr>
      <w:tr>
        <w:tc>
          <w:tcPr>
            <w:gridSpan w:val="7"/>
          </w:tcPr>
          <w:p>
            <w:pPr>
              <w:pStyle w:val="Compact"/>
              <w:jc w:val="right"/>
            </w:pPr>
            <w:r>
              <w:rPr>
                <w:bCs/>
                <w:b/>
              </w:rPr>
              <w:t xml:space="preserve">Total Material Carbon Impact:</w:t>
            </w:r>
          </w:p>
        </w:tc>
        <w:tc>
          <w:tcPr/>
          <w:p>
            <w:pPr>
              <w:pStyle w:val="Compact"/>
              <w:jc w:val="left"/>
            </w:pPr>
            <w:r>
              <w:rPr>
                <w:bCs/>
                <w:b/>
              </w:rPr>
              <w:t xml:space="preserve">9.76 kgCO2e</w:t>
            </w:r>
          </w:p>
        </w:tc>
      </w:tr>
    </w:tbl>
    <w:bookmarkEnd w:id="28"/>
    <w:bookmarkStart w:id="29" w:name="X5491f0ec7c5555315a899504130dee3720a958c"/>
    <w:p>
      <w:pPr>
        <w:pStyle w:val="Heading3"/>
      </w:pPr>
      <w:r>
        <w:t xml:space="preserve">3.2. Production Energy Inputs (Manufacturing Phase)</w:t>
      </w:r>
    </w:p>
    <w:p>
      <w:pPr>
        <w:numPr>
          <w:ilvl w:val="0"/>
          <w:numId w:val="1001"/>
        </w:numPr>
        <w:pStyle w:val="Compact"/>
      </w:pPr>
      <w:r>
        <w:rPr>
          <w:bCs/>
          <w:b/>
        </w:rPr>
        <w:t xml:space="preserve">Energy Intensity (kWh/unit):</w:t>
      </w:r>
      <w:r>
        <w:t xml:space="preserve"> </w:t>
      </w:r>
      <w:r>
        <w:t xml:space="preserve">jwqvpxpdrk (Illustrative: 25 kWh/unit)</w:t>
      </w:r>
    </w:p>
    <w:p>
      <w:pPr>
        <w:numPr>
          <w:ilvl w:val="0"/>
          <w:numId w:val="1001"/>
        </w:numPr>
        <w:pStyle w:val="Compact"/>
      </w:pPr>
      <w:r>
        <w:rPr>
          <w:bCs/>
          <w:b/>
        </w:rPr>
        <w:t xml:space="preserve">Renewable Energy Usage:</w:t>
      </w:r>
      <w:r>
        <w:t xml:space="preserve"> </w:t>
      </w:r>
      <w:r>
        <w:t xml:space="preserve">vprrvrwzjx (Illustrative: 75%)</w:t>
      </w:r>
    </w:p>
    <w:p>
      <w:pPr>
        <w:numPr>
          <w:ilvl w:val="0"/>
          <w:numId w:val="1001"/>
        </w:numPr>
        <w:pStyle w:val="Compact"/>
      </w:pPr>
      <w:r>
        <w:t xml:space="preserve">The remaining non-renewable energy consumption is sourced from the local grid mix in China.</w:t>
      </w:r>
    </w:p>
    <w:bookmarkEnd w:id="29"/>
    <w:bookmarkStart w:id="30" w:name="Xe00beb66cc2e14450998c008cde0797621a0de0"/>
    <w:p>
      <w:pPr>
        <w:pStyle w:val="Heading3"/>
      </w:pPr>
      <w:r>
        <w:t xml:space="preserve">3.3. Logistics Data (Transportation &amp; Distribution)</w:t>
      </w:r>
    </w:p>
    <w:p>
      <w:pPr>
        <w:numPr>
          <w:ilvl w:val="0"/>
          <w:numId w:val="1002"/>
        </w:numPr>
        <w:pStyle w:val="Compact"/>
      </w:pPr>
      <w:r>
        <w:rPr>
          <w:bCs/>
          <w:b/>
        </w:rPr>
        <w:t xml:space="preserve">Primary Transport Mode:</w:t>
      </w:r>
      <w:r>
        <w:t xml:space="preserve"> </w:t>
      </w:r>
      <w:r>
        <w:t xml:space="preserve">Select Mode (Illustrative: Road freight, HGV 16-32 tonne)</w:t>
      </w:r>
    </w:p>
    <w:p>
      <w:pPr>
        <w:numPr>
          <w:ilvl w:val="0"/>
          <w:numId w:val="1002"/>
        </w:numPr>
        <w:pStyle w:val="Compact"/>
      </w:pPr>
      <w:r>
        <w:rPr>
          <w:bCs/>
          <w:b/>
        </w:rPr>
        <w:t xml:space="preserve">Transport Distance:</w:t>
      </w:r>
      <w:r>
        <w:t xml:space="preserve"> </w:t>
      </w:r>
      <w:r>
        <w:t xml:space="preserve">zxmgyopgmn (Illustrative: 1500 km for outbound distribution)</w:t>
      </w:r>
    </w:p>
    <w:p>
      <w:pPr>
        <w:numPr>
          <w:ilvl w:val="0"/>
          <w:numId w:val="1002"/>
        </w:numPr>
        <w:pStyle w:val="Compact"/>
      </w:pPr>
      <w:r>
        <w:rPr>
          <w:bCs/>
          <w:b/>
        </w:rPr>
        <w:t xml:space="preserve">Last-Mile Delivery Channel:</w:t>
      </w:r>
      <w:r>
        <w:t xml:space="preserve"> </w:t>
      </w:r>
      <w:r>
        <w:t xml:space="preserve">Delivery Type (Illustrative: Van delivery)</w:t>
      </w:r>
    </w:p>
    <w:p>
      <w:pPr>
        <w:numPr>
          <w:ilvl w:val="0"/>
          <w:numId w:val="1002"/>
        </w:numPr>
        <w:pStyle w:val="Compact"/>
      </w:pPr>
      <w:r>
        <w:t xml:space="preserve">This data covers the distribution of the finished product from the factory gate to the customer. Upstream transport of raw materials is considered embedded in the BOM\'s \'Total Carbon\' for simplicity.</w:t>
      </w:r>
    </w:p>
    <w:bookmarkEnd w:id="30"/>
    <w:bookmarkStart w:id="31" w:name="X9750e9daef06ebfed1a9ba4b65fba37445137ca"/>
    <w:p>
      <w:pPr>
        <w:pStyle w:val="Heading3"/>
      </w:pPr>
      <w:r>
        <w:t xml:space="preserve">3.4. Use Phase Data (Product Lifespan &amp; Consumption)</w:t>
      </w:r>
    </w:p>
    <w:p>
      <w:pPr>
        <w:numPr>
          <w:ilvl w:val="0"/>
          <w:numId w:val="1003"/>
        </w:numPr>
        <w:pStyle w:val="Compact"/>
      </w:pPr>
      <w:r>
        <w:rPr>
          <w:bCs/>
          <w:b/>
        </w:rPr>
        <w:t xml:space="preserve">Product Lifespan:</w:t>
      </w:r>
      <w:r>
        <w:t xml:space="preserve"> </w:t>
      </w:r>
      <w:r>
        <w:t xml:space="preserve">nuefqpzrqd (Illustrative: 5 years)</w:t>
      </w:r>
    </w:p>
    <w:p>
      <w:pPr>
        <w:numPr>
          <w:ilvl w:val="0"/>
          <w:numId w:val="1003"/>
        </w:numPr>
        <w:pStyle w:val="Compact"/>
      </w:pPr>
      <w:r>
        <w:rPr>
          <w:bCs/>
          <w:b/>
        </w:rPr>
        <w:t xml:space="preserve">Energy Consumption in Use (per year):</w:t>
      </w:r>
      <w:r>
        <w:t xml:space="preserve"> </w:t>
      </w:r>
      <w:r>
        <w:t xml:space="preserve">hpldtyvskh (Illustrative: 10 kWh/year)</w:t>
      </w:r>
    </w:p>
    <w:p>
      <w:pPr>
        <w:numPr>
          <w:ilvl w:val="0"/>
          <w:numId w:val="1003"/>
        </w:numPr>
        <w:pStyle w:val="Compact"/>
      </w:pPr>
      <w:r>
        <w:t xml:space="preserve">These parameters define the energy consumption during the product\'s operational life by the end-user.</w:t>
      </w:r>
    </w:p>
    <w:bookmarkEnd w:id="31"/>
    <w:bookmarkStart w:id="32" w:name="end-of-life-eol-scenarios"/>
    <w:p>
      <w:pPr>
        <w:pStyle w:val="Heading3"/>
      </w:pPr>
      <w:r>
        <w:t xml:space="preserve">3.5. End-of-Life (EoL) Scenarios</w:t>
      </w:r>
    </w:p>
    <w:p>
      <w:pPr>
        <w:numPr>
          <w:ilvl w:val="0"/>
          <w:numId w:val="1004"/>
        </w:numPr>
        <w:pStyle w:val="Compact"/>
      </w:pPr>
      <w:r>
        <w:rPr>
          <w:bCs/>
          <w:b/>
        </w:rPr>
        <w:t xml:space="preserve">Recyclability Percentage:</w:t>
      </w:r>
      <w:r>
        <w:t xml:space="preserve"> </w:t>
      </w:r>
      <w:r>
        <w:t xml:space="preserve">wnfoezpyvo (Illustrative: 80%)</w:t>
      </w:r>
    </w:p>
    <w:p>
      <w:pPr>
        <w:numPr>
          <w:ilvl w:val="0"/>
          <w:numId w:val="1004"/>
        </w:numPr>
        <w:pStyle w:val="Compact"/>
      </w:pPr>
      <w:r>
        <w:rPr>
          <w:bCs/>
          <w:b/>
        </w:rPr>
        <w:t xml:space="preserve">Circular/Take-back Programs:</w:t>
      </w:r>
      <w:r>
        <w:t xml:space="preserve"> </w:t>
      </w:r>
      <w:r>
        <w:t xml:space="preserve">duvpqfrqwu (Illustrative: Product take-back program available)</w:t>
      </w:r>
    </w:p>
    <w:p>
      <w:pPr>
        <w:numPr>
          <w:ilvl w:val="0"/>
          <w:numId w:val="1004"/>
        </w:numPr>
        <w:pStyle w:val="Compact"/>
      </w:pPr>
      <w:r>
        <w:t xml:space="preserve">This data informs the emissions and potential avoided emissions associated with the disposal or recycling of the product at the end of its life.</w:t>
      </w:r>
    </w:p>
    <w:p>
      <w:r>
        <w:pict>
          <v:rect style="width:0;height:1.5pt" o:hralign="center" o:hrstd="t" o:hr="t"/>
        </w:pict>
      </w:r>
    </w:p>
    <w:bookmarkEnd w:id="32"/>
    <w:bookmarkEnd w:id="33"/>
    <w:bookmarkStart w:id="42" w:name="calculate-emissions"/>
    <w:p>
      <w:pPr>
        <w:pStyle w:val="Heading2"/>
      </w:pPr>
      <w:r>
        <w:t xml:space="preserve">4. Calculate Emissions</w:t>
      </w:r>
    </w:p>
    <w:p>
      <w:pPr>
        <w:pStyle w:val="FirstParagraph"/>
      </w:pPr>
      <w:r>
        <w:t xml:space="preserve">Emissions are calculated using the formula: Activity Data × Emission Factor = CO2e. Industry-standard emission factors (e.g., from Ecoinvent/DEFRA databases) are applied for various processes and materials. For this illustrative report, generic but representative emission factors are used for placeholder data. Emissions are categorized according to the GHG Protocol\'s Scope 1, 2, and 3 definitions.</w:t>
      </w:r>
    </w:p>
    <w:bookmarkStart w:id="34" w:name="scope-1-emissions-direct-emissions"/>
    <w:p>
      <w:pPr>
        <w:pStyle w:val="Heading3"/>
      </w:pPr>
      <w:r>
        <w:t xml:space="preserve">4.1. Scope 1 Emissions (Direct Emissions)</w:t>
      </w:r>
    </w:p>
    <w:p>
      <w:pPr>
        <w:pStyle w:val="FirstParagraph"/>
      </w:pPr>
      <w:r>
        <w:t xml:space="preserve">Scope 1 emissions are direct GHG emissions from sources owned or controlled by ekwguxzeth at the production facility. Given the "factory_gate" system boundary and the provided parameters, direct on-site combustion of fuels for manufacturing processes would fall into this scope. Without explicit data on direct fuel consumption, for this analysis, Scope 1 emissions are considered negligible or already embedded within the broader "factory_gate" definition of Scope 2 and 3 if activities like forklift operation are using purchased electricity (Scope 2) or outsourced (Scope 3).</w:t>
      </w:r>
    </w:p>
    <w:p>
      <w:pPr>
        <w:numPr>
          <w:ilvl w:val="0"/>
          <w:numId w:val="1005"/>
        </w:numPr>
        <w:pStyle w:val="Compact"/>
      </w:pPr>
      <w:r>
        <w:rPr>
          <w:bCs/>
          <w:b/>
        </w:rPr>
        <w:t xml:space="preserve">Illustrative Scope 1 Emissions:</w:t>
      </w:r>
      <w:r>
        <w:t xml:space="preserve"> </w:t>
      </w:r>
      <w:r>
        <w:t xml:space="preserve">0.00 kgCO2e/unit (Assumed negligible due to lack of specific direct fuel combustion data for onykrufjgh\'s production.)</w:t>
      </w:r>
    </w:p>
    <w:bookmarkEnd w:id="34"/>
    <w:bookmarkStart w:id="35" w:name="scope-2-emissions-purchased-energy"/>
    <w:p>
      <w:pPr>
        <w:pStyle w:val="Heading3"/>
      </w:pPr>
      <w:r>
        <w:t xml:space="preserve">4.2. Scope 2 Emissions (Purchased Energy)</w:t>
      </w:r>
    </w:p>
    <w:p>
      <w:pPr>
        <w:pStyle w:val="FirstParagraph"/>
      </w:pPr>
      <w:r>
        <w:t xml:space="preserve">Scope 2 emissions are indirect GHG emissions from the generation of purchased electricity, heat, or steam consumed by ekwguxzeth.</w:t>
      </w:r>
    </w:p>
    <w:p>
      <w:pPr>
        <w:numPr>
          <w:ilvl w:val="0"/>
          <w:numId w:val="1006"/>
        </w:numPr>
        <w:pStyle w:val="Compact"/>
      </w:pPr>
      <w:r>
        <w:t xml:space="preserve">Energy Intensity: 25 kWh/unit [Provided Value]</w:t>
      </w:r>
    </w:p>
    <w:p>
      <w:pPr>
        <w:numPr>
          <w:ilvl w:val="0"/>
          <w:numId w:val="1006"/>
        </w:numPr>
        <w:pStyle w:val="Compact"/>
      </w:pPr>
      <w:r>
        <w:t xml:space="preserve">Renewable Energy Usage: 75% [Provided Value]</w:t>
      </w:r>
    </w:p>
    <w:p>
      <w:pPr>
        <w:numPr>
          <w:ilvl w:val="0"/>
          <w:numId w:val="1006"/>
        </w:numPr>
        <w:pStyle w:val="Compact"/>
      </w:pPr>
      <w:r>
        <w:t xml:space="preserve">Non-renewable electricity consumed: 25 kWh/unit * (1 - 0.75) = 6.25 kWh/unit</w:t>
      </w:r>
    </w:p>
    <w:p>
      <w:pPr>
        <w:numPr>
          <w:ilvl w:val="0"/>
          <w:numId w:val="1006"/>
        </w:numPr>
        <w:pStyle w:val="Compact"/>
      </w:pPr>
      <w:r>
        <w:t xml:space="preserve">Emission Factor for China Grid Mix (illustrative): 0.6 kgCO2e/kWh</w:t>
      </w:r>
    </w:p>
    <w:p>
      <w:pPr>
        <w:numPr>
          <w:ilvl w:val="0"/>
          <w:numId w:val="1006"/>
        </w:numPr>
        <w:pStyle w:val="Compact"/>
      </w:pPr>
      <w:r>
        <w:rPr>
          <w:bCs/>
          <w:b/>
        </w:rPr>
        <w:t xml:space="preserve">Calculated Scope 2 Emissions:</w:t>
      </w:r>
      <w:r>
        <w:t xml:space="preserve"> </w:t>
      </w:r>
      <w:r>
        <w:t xml:space="preserve">6.25 kWh/unit * 0.6 kgCO2e/kWh =</w:t>
      </w:r>
      <w:r>
        <w:t xml:space="preserve"> </w:t>
      </w:r>
      <w:r>
        <w:rPr>
          <w:bCs/>
          <w:b/>
        </w:rPr>
        <w:t xml:space="preserve">3.75 kgCO2e/unit</w:t>
      </w:r>
    </w:p>
    <w:bookmarkEnd w:id="35"/>
    <w:bookmarkStart w:id="38" w:name="scope-3-emissions-value-chain-emissions"/>
    <w:p>
      <w:pPr>
        <w:pStyle w:val="Heading3"/>
      </w:pPr>
      <w:r>
        <w:t xml:space="preserve">4.3. Scope 3 Emissions (Value Chain Emissions)</w:t>
      </w:r>
    </w:p>
    <w:p>
      <w:pPr>
        <w:pStyle w:val="FirstParagraph"/>
      </w:pPr>
      <w:r>
        <w:t xml:space="preserve">Scope 3 emissions are all other indirect emissions in the value chain, both upstream and downstream, not included in Scope 1 or 2.</w:t>
      </w:r>
    </w:p>
    <w:bookmarkStart w:id="36" w:name="upstream-emissions"/>
    <w:p>
      <w:pPr>
        <w:pStyle w:val="Heading4"/>
      </w:pPr>
      <w:r>
        <w:t xml:space="preserve">4.3.1. Upstream Emissions</w:t>
      </w:r>
    </w:p>
    <w:p>
      <w:pPr>
        <w:numPr>
          <w:ilvl w:val="0"/>
          <w:numId w:val="1007"/>
        </w:numPr>
        <w:pStyle w:val="Compact"/>
      </w:pPr>
      <w:r>
        <w:rPr>
          <w:bCs/>
          <w:b/>
        </w:rPr>
        <w:t xml:space="preserve">Purchased Goods and Services (Materials):</w:t>
      </w:r>
      <w:r>
        <w:t xml:space="preserve"> </w:t>
      </w:r>
      <w:r>
        <w:t xml:space="preserve">This category accounts for the GHG emissions from the extraction, production, and primary transportation of raw materials and components listed in the BOM.</w:t>
      </w:r>
    </w:p>
    <w:p>
      <w:pPr>
        <w:numPr>
          <w:ilvl w:val="1"/>
          <w:numId w:val="1008"/>
        </w:numPr>
        <w:pStyle w:val="Compact"/>
      </w:pPr>
      <w:r>
        <w:rPr>
          <w:bCs/>
          <w:b/>
        </w:rPr>
        <w:t xml:space="preserve">Total Material Carbon Impact:</w:t>
      </w:r>
      <w:r>
        <w:t xml:space="preserve"> </w:t>
      </w:r>
      <w:r>
        <w:t xml:space="preserve">9.76 kgCO2e/unit (Sum from BOM, assuming these values include upstream processing to factory gate)</w:t>
      </w:r>
    </w:p>
    <w:p>
      <w:pPr>
        <w:numPr>
          <w:ilvl w:val="0"/>
          <w:numId w:val="1007"/>
        </w:numPr>
        <w:pStyle w:val="Compact"/>
      </w:pPr>
      <w:r>
        <w:rPr>
          <w:bCs/>
          <w:b/>
        </w:rPr>
        <w:t xml:space="preserve">Upstream Transportation &amp; Distribution (for raw materials):</w:t>
      </w:r>
      <w:r>
        <w:t xml:space="preserve"> </w:t>
      </w:r>
      <w:r>
        <w:t xml:space="preserve">For this analysis, these emissions are considered to be included within the \'Total Carbon\' figures provided in the BOM for simplicity.</w:t>
      </w:r>
    </w:p>
    <w:bookmarkEnd w:id="36"/>
    <w:bookmarkStart w:id="37" w:name="downstream-emissions"/>
    <w:p>
      <w:pPr>
        <w:pStyle w:val="Heading4"/>
      </w:pPr>
      <w:r>
        <w:t xml:space="preserve">4.3.2. Downstream Emissions</w:t>
      </w:r>
    </w:p>
    <w:p>
      <w:pPr>
        <w:numPr>
          <w:ilvl w:val="0"/>
          <w:numId w:val="1009"/>
        </w:numPr>
        <w:pStyle w:val="Compact"/>
      </w:pPr>
      <w:r>
        <w:rPr>
          <w:bCs/>
          <w:b/>
        </w:rPr>
        <w:t xml:space="preserve">Downstream Transportation &amp; Distribution (Finished Product):</w:t>
      </w:r>
      <w:r>
        <w:t xml:space="preserve"> </w:t>
      </w:r>
      <w:r>
        <w:t xml:space="preserve">Emissions from transporting the finished product from the factory to the end-user.</w:t>
      </w:r>
    </w:p>
    <w:p>
      <w:pPr>
        <w:numPr>
          <w:ilvl w:val="1"/>
          <w:numId w:val="1010"/>
        </w:numPr>
        <w:pStyle w:val="Compact"/>
      </w:pPr>
      <w:r>
        <w:t xml:space="preserve">Transport Mode: Road freight (HGV 16-32 tonne) [Provided Value]</w:t>
      </w:r>
    </w:p>
    <w:p>
      <w:pPr>
        <w:numPr>
          <w:ilvl w:val="1"/>
          <w:numId w:val="1010"/>
        </w:numPr>
        <w:pStyle w:val="Compact"/>
      </w:pPr>
      <w:r>
        <w:t xml:space="preserve">Transport Distance: 1500 km [Provided Value]</w:t>
      </w:r>
    </w:p>
    <w:p>
      <w:pPr>
        <w:numPr>
          <w:ilvl w:val="1"/>
          <w:numId w:val="1010"/>
        </w:numPr>
        <w:pStyle w:val="Compact"/>
      </w:pPr>
      <w:r>
        <w:t xml:space="preserve">Product Weight (approximate sum of material Qty): 2.15 kg</w:t>
      </w:r>
    </w:p>
    <w:p>
      <w:pPr>
        <w:numPr>
          <w:ilvl w:val="1"/>
          <w:numId w:val="1010"/>
        </w:numPr>
        <w:pStyle w:val="Compact"/>
      </w:pPr>
      <w:r>
        <w:t xml:space="preserve">Illustrative Road Freight EF: 0.1 kgCO2e/tkm (tonne-kilometer)</w:t>
      </w:r>
    </w:p>
    <w:p>
      <w:pPr>
        <w:numPr>
          <w:ilvl w:val="1"/>
          <w:numId w:val="1010"/>
        </w:numPr>
        <w:pStyle w:val="Compact"/>
      </w:pPr>
      <w:r>
        <w:t xml:space="preserve">Distance in tkm: (2.15 kg / 1000) * 1500 km = 3.225 tkm</w:t>
      </w:r>
    </w:p>
    <w:p>
      <w:pPr>
        <w:numPr>
          <w:ilvl w:val="1"/>
          <w:numId w:val="1010"/>
        </w:numPr>
        <w:pStyle w:val="Compact"/>
      </w:pPr>
      <w:r>
        <w:rPr>
          <w:bCs/>
          <w:b/>
        </w:rPr>
        <w:t xml:space="preserve">Calculated Transport Emissions:</w:t>
      </w:r>
      <w:r>
        <w:t xml:space="preserve"> </w:t>
      </w:r>
      <w:r>
        <w:t xml:space="preserve">3.225 tkm * 0.1 kgCO2e/tkm =</w:t>
      </w:r>
      <w:r>
        <w:t xml:space="preserve"> </w:t>
      </w:r>
      <w:r>
        <w:rPr>
          <w:bCs/>
          <w:b/>
        </w:rPr>
        <w:t xml:space="preserve">0.3225 kgCO2e/unit</w:t>
      </w:r>
    </w:p>
    <w:p>
      <w:pPr>
        <w:numPr>
          <w:ilvl w:val="0"/>
          <w:numId w:val="1009"/>
        </w:numPr>
        <w:pStyle w:val="Compact"/>
      </w:pPr>
      <w:r>
        <w:rPr>
          <w:bCs/>
          <w:b/>
        </w:rPr>
        <w:t xml:space="preserve">Use of Sold Products:</w:t>
      </w:r>
      <w:r>
        <w:t xml:space="preserve"> </w:t>
      </w:r>
      <w:r>
        <w:t xml:space="preserve">Emissions occurring during the use phase of onykrufjgh by the consumer.</w:t>
      </w:r>
    </w:p>
    <w:p>
      <w:pPr>
        <w:numPr>
          <w:ilvl w:val="1"/>
          <w:numId w:val="1011"/>
        </w:numPr>
        <w:pStyle w:val="Compact"/>
      </w:pPr>
      <w:r>
        <w:t xml:space="preserve">Product Lifespan: 5 years [Provided Value]</w:t>
      </w:r>
    </w:p>
    <w:p>
      <w:pPr>
        <w:numPr>
          <w:ilvl w:val="1"/>
          <w:numId w:val="1011"/>
        </w:numPr>
        <w:pStyle w:val="Compact"/>
      </w:pPr>
      <w:r>
        <w:t xml:space="preserve">Energy Consumption in Use: 10 kWh/year [Provided Value]</w:t>
      </w:r>
    </w:p>
    <w:p>
      <w:pPr>
        <w:numPr>
          <w:ilvl w:val="1"/>
          <w:numId w:val="1011"/>
        </w:numPr>
        <w:pStyle w:val="Compact"/>
      </w:pPr>
      <w:r>
        <w:t xml:space="preserve">Total Energy Consumption over lifespan: 10 kWh/year * 5 years = 50 kWh/unit</w:t>
      </w:r>
    </w:p>
    <w:p>
      <w:pPr>
        <w:numPr>
          <w:ilvl w:val="1"/>
          <w:numId w:val="1011"/>
        </w:numPr>
        <w:pStyle w:val="Compact"/>
      </w:pPr>
      <w:r>
        <w:t xml:space="preserve">Emission Factor for average grid mix (illustrative): 0.6 kgCO2e/kWh</w:t>
      </w:r>
    </w:p>
    <w:p>
      <w:pPr>
        <w:numPr>
          <w:ilvl w:val="1"/>
          <w:numId w:val="1011"/>
        </w:numPr>
        <w:pStyle w:val="Compact"/>
      </w:pPr>
      <w:r>
        <w:rPr>
          <w:bCs/>
          <w:b/>
        </w:rPr>
        <w:t xml:space="preserve">Calculated Use Phase Emissions:</w:t>
      </w:r>
      <w:r>
        <w:t xml:space="preserve"> </w:t>
      </w:r>
      <w:r>
        <w:t xml:space="preserve">50 kWh/unit * 0.6 kgCO2e/kWh =</w:t>
      </w:r>
      <w:r>
        <w:t xml:space="preserve"> </w:t>
      </w:r>
      <w:r>
        <w:rPr>
          <w:bCs/>
          <w:b/>
        </w:rPr>
        <w:t xml:space="preserve">30.00 kgCO2e/unit</w:t>
      </w:r>
    </w:p>
    <w:p>
      <w:pPr>
        <w:numPr>
          <w:ilvl w:val="0"/>
          <w:numId w:val="1009"/>
        </w:numPr>
        <w:pStyle w:val="Compact"/>
      </w:pPr>
      <w:r>
        <w:rPr>
          <w:bCs/>
          <w:b/>
        </w:rPr>
        <w:t xml:space="preserve">End-of-Life Treatment of Sold Products:</w:t>
      </w:r>
      <w:r>
        <w:t xml:space="preserve"> </w:t>
      </w:r>
      <w:r>
        <w:t xml:space="preserve">Emissions from the disposal and/or recycling of onykrufjgh.</w:t>
      </w:r>
    </w:p>
    <w:p>
      <w:pPr>
        <w:numPr>
          <w:ilvl w:val="1"/>
          <w:numId w:val="1012"/>
        </w:numPr>
        <w:pStyle w:val="Compact"/>
      </w:pPr>
      <w:r>
        <w:t xml:space="preserve">Recyclability Percentage: 80% [Provided Value]</w:t>
      </w:r>
    </w:p>
    <w:p>
      <w:pPr>
        <w:numPr>
          <w:ilvl w:val="1"/>
          <w:numId w:val="1012"/>
        </w:numPr>
        <w:pStyle w:val="Compact"/>
      </w:pPr>
      <w:r>
        <w:t xml:space="preserve">Circular/Take-back Programs: Product take-back program available [Provided Value]</w:t>
      </w:r>
    </w:p>
    <w:p>
      <w:pPr>
        <w:numPr>
          <w:ilvl w:val="1"/>
          <w:numId w:val="1012"/>
        </w:numPr>
        <w:pStyle w:val="Compact"/>
      </w:pPr>
      <w:r>
        <w:t xml:space="preserve">Product Weight (approximate): 2.15 kg</w:t>
      </w:r>
    </w:p>
    <w:p>
      <w:pPr>
        <w:numPr>
          <w:ilvl w:val="1"/>
          <w:numId w:val="1012"/>
        </w:numPr>
        <w:pStyle w:val="Compact"/>
      </w:pPr>
      <w:r>
        <w:t xml:space="preserve">Portion to landfill: 2.15 kg * (1 - 0.80) = 0.43 kg</w:t>
      </w:r>
    </w:p>
    <w:p>
      <w:pPr>
        <w:numPr>
          <w:ilvl w:val="1"/>
          <w:numId w:val="1012"/>
        </w:numPr>
        <w:pStyle w:val="Compact"/>
      </w:pPr>
      <w:r>
        <w:t xml:space="preserve">Illustrative Landfill EF (mixed waste): 0.5 kgCO2e/kg</w:t>
      </w:r>
    </w:p>
    <w:p>
      <w:pPr>
        <w:numPr>
          <w:ilvl w:val="1"/>
          <w:numId w:val="1012"/>
        </w:numPr>
        <w:pStyle w:val="Compact"/>
      </w:pPr>
      <w:r>
        <w:rPr>
          <w:bCs/>
          <w:b/>
        </w:rPr>
        <w:t xml:space="preserve">Calculated EoL Emissions (disposal):</w:t>
      </w:r>
      <w:r>
        <w:t xml:space="preserve"> </w:t>
      </w:r>
      <w:r>
        <w:t xml:space="preserve">0.43 kg * 0.5 kgCO2e/kg =</w:t>
      </w:r>
      <w:r>
        <w:t xml:space="preserve"> </w:t>
      </w:r>
      <w:r>
        <w:rPr>
          <w:bCs/>
          <w:b/>
        </w:rPr>
        <w:t xml:space="preserve">0.215 kgCO2e/unit</w:t>
      </w:r>
    </w:p>
    <w:p>
      <w:pPr>
        <w:numPr>
          <w:ilvl w:val="1"/>
          <w:numId w:val="1012"/>
        </w:numPr>
        <w:pStyle w:val="Compact"/>
      </w:pPr>
      <w:r>
        <w:t xml:space="preserve">Note: Recycling benefits (avoided emissions from virgin material production) would typically be calculated as a credit but are excluded from this simplified illustrative sum. The existence of take-back programs (duvpqfrqwu) indicates a commitment to mitigating EoL impacts.</w:t>
      </w:r>
    </w:p>
    <w:bookmarkEnd w:id="37"/>
    <w:bookmarkEnd w:id="38"/>
    <w:bookmarkStart w:id="39" w:name="X299a3717db401fbc63eac38de0814f3ad8939f4"/>
    <w:p>
      <w:pPr>
        <w:pStyle w:val="Heading3"/>
      </w:pPr>
      <w:r>
        <w:t xml:space="preserve">4.4. Total Product Carbon Footprint (PCF) Summary</w:t>
      </w:r>
    </w:p>
    <w:p>
      <w:pPr>
        <w:pStyle w:val="FirstParagraph"/>
      </w:pPr>
      <w:r>
        <w:t xml:space="preserve">The total Product Carbon Footprint for one functional unit of onykrufjgh, based on the illustrative data and calculations above, is as follows: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Emission Scope/Category</w:t>
            </w:r>
          </w:p>
        </w:tc>
        <w:tc>
          <w:tcPr/>
          <w:p>
            <w:pPr>
              <w:pStyle w:val="Compact"/>
              <w:jc w:val="left"/>
            </w:pPr>
            <w:r>
              <w:t xml:space="preserve">Emissions (kgCO2e/unit)</w:t>
            </w:r>
          </w:p>
        </w:tc>
      </w:tr>
      <w:tr>
        <w:tc>
          <w:tcPr/>
          <w:p>
            <w:pPr>
              <w:pStyle w:val="Compact"/>
              <w:jc w:val="left"/>
            </w:pPr>
            <w:r>
              <w:t xml:space="preserve">Scope 1 (Direct Emissions)</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3.75</w:t>
            </w:r>
          </w:p>
        </w:tc>
      </w:tr>
      <w:tr>
        <w:tc>
          <w:tcPr/>
          <w:p>
            <w:pPr>
              <w:pStyle w:val="Compact"/>
              <w:jc w:val="left"/>
            </w:pPr>
            <w:r>
              <w:t xml:space="preserve">Scope 3 - Upstream (Materials)</w:t>
            </w:r>
          </w:p>
        </w:tc>
        <w:tc>
          <w:tcPr/>
          <w:p>
            <w:pPr>
              <w:pStyle w:val="Compact"/>
              <w:jc w:val="left"/>
            </w:pPr>
            <w:r>
              <w:t xml:space="preserve">9.76</w:t>
            </w:r>
          </w:p>
        </w:tc>
      </w:tr>
      <w:tr>
        <w:tc>
          <w:tcPr/>
          <w:p>
            <w:pPr>
              <w:pStyle w:val="Compact"/>
              <w:jc w:val="left"/>
            </w:pPr>
            <w:r>
              <w:t xml:space="preserve">Scope 3 - Downstream (Transport)</w:t>
            </w:r>
          </w:p>
        </w:tc>
        <w:tc>
          <w:tcPr/>
          <w:p>
            <w:pPr>
              <w:pStyle w:val="Compact"/>
              <w:jc w:val="left"/>
            </w:pPr>
            <w:r>
              <w:t xml:space="preserve">0.32</w:t>
            </w:r>
          </w:p>
        </w:tc>
      </w:tr>
      <w:tr>
        <w:tc>
          <w:tcPr/>
          <w:p>
            <w:pPr>
              <w:pStyle w:val="Compact"/>
              <w:jc w:val="left"/>
            </w:pPr>
            <w:r>
              <w:t xml:space="preserve">Scope 3 - Downstream (Use Phase)</w:t>
            </w:r>
          </w:p>
        </w:tc>
        <w:tc>
          <w:tcPr/>
          <w:p>
            <w:pPr>
              <w:pStyle w:val="Compact"/>
              <w:jc w:val="left"/>
            </w:pPr>
            <w:r>
              <w:t xml:space="preserve">30.00</w:t>
            </w:r>
          </w:p>
        </w:tc>
      </w:tr>
      <w:tr>
        <w:tc>
          <w:tcPr/>
          <w:p>
            <w:pPr>
              <w:pStyle w:val="Compact"/>
              <w:jc w:val="left"/>
            </w:pPr>
            <w:r>
              <w:t xml:space="preserve">Scope 3 - Downstream (End-of-Life)</w:t>
            </w:r>
          </w:p>
        </w:tc>
        <w:tc>
          <w:tcPr/>
          <w:p>
            <w:pPr>
              <w:pStyle w:val="Compact"/>
              <w:jc w:val="left"/>
            </w:pPr>
            <w:r>
              <w:t xml:space="preserve">0.22</w:t>
            </w:r>
          </w:p>
        </w:tc>
      </w:tr>
      <w:tr>
        <w:tc>
          <w:tcPr/>
          <w:p>
            <w:pPr>
              <w:pStyle w:val="Compact"/>
              <w:jc w:val="left"/>
            </w:pPr>
            <w:r>
              <w:rPr>
                <w:bCs/>
                <w:b/>
              </w:rPr>
              <w:t xml:space="preserve">Total Product Carbon Footprint (PCF)</w:t>
            </w:r>
          </w:p>
        </w:tc>
        <w:tc>
          <w:tcPr/>
          <w:p>
            <w:pPr>
              <w:pStyle w:val="Compact"/>
              <w:jc w:val="left"/>
            </w:pPr>
            <w:r>
              <w:rPr>
                <w:bCs/>
                <w:b/>
              </w:rPr>
              <w:t xml:space="preserve">44.05</w:t>
            </w:r>
          </w:p>
        </w:tc>
      </w:tr>
    </w:tbl>
    <w:p>
      <w:pPr>
        <w:pStyle w:val="BodyText"/>
      </w:pPr>
      <w:r>
        <w:rPr>
          <w:bCs/>
          <w:b/>
        </w:rPr>
        <w:t xml:space="preserve">Total PCF for 1.0 unit of onykrufjgh: 44.05 kgCO2e.</w:t>
      </w:r>
    </w:p>
    <w:bookmarkEnd w:id="39"/>
    <w:bookmarkStart w:id="40" w:name="Xb00d32d3c892155168f981904c955d2b207f1f2"/>
    <w:p>
      <w:pPr>
        <w:pStyle w:val="Heading3"/>
      </w:pPr>
      <w:r>
        <w:t xml:space="preserve">4.5. 2026 Land Sector and Removals (LSR) Update Application</w:t>
      </w:r>
    </w:p>
    <w:p>
      <w:pPr>
        <w:pStyle w:val="FirstParagraph"/>
      </w:pPr>
      <w:r>
        <w:t xml:space="preserve">The GHG Protocol\'s Land Sector and Removals (LSR) Standard, effective January 1, 2027, provides crucial accounting requirements and guidance for land emissions and CO2 removals. While onykrufjgh is not explicitly an agricultural product, the principles of the LSR Standard are critical for robust GHG accounting, particularly for any raw materials in its value chain that involve land use change or agricultural production. The standard allows companies to quantify and report these impacts and technological CO2 removals. ekwguxzeth should consider applying this standard for any relevant land-based activities within its upstream Scope 3 categories, as accompanying guidance is expected in Q2 2026.</w:t>
      </w:r>
    </w:p>
    <w:bookmarkEnd w:id="40"/>
    <w:bookmarkStart w:id="41" w:name="scope-3-compliance-2026-requirements"/>
    <w:p>
      <w:pPr>
        <w:pStyle w:val="Heading3"/>
      </w:pPr>
      <w:r>
        <w:t xml:space="preserve">4.6. Scope 3 Compliance (2026 Requirements)</w:t>
      </w:r>
    </w:p>
    <w:p>
      <w:pPr>
        <w:pStyle w:val="FirstParagraph"/>
      </w:pPr>
      <w:r>
        <w:t xml:space="preserve">As per the 2026 requirements, companies are expected to ensure at least 95% coverage for total required Scope 3 emissions reporting to claim conformance. This prescriptive completeness requirement aims to enhance transparency and consistency by setting a verifiable threshold for exclusions. ekwguxzeth\'s detailed data collection for materials, transport, use, and end-of-life aligns with this objective, ensuring a comprehensive understanding and reporting of its value chain emissions. The reporting also distinguishes between required and optional Scope 3 emissions.</w:t>
      </w:r>
    </w:p>
    <w:p>
      <w:r>
        <w:pict>
          <v:rect style="width:0;height:1.5pt" o:hralign="center" o:hrstd="t" o:hr="t"/>
        </w:pict>
      </w:r>
    </w:p>
    <w:bookmarkEnd w:id="41"/>
    <w:bookmarkEnd w:id="42"/>
    <w:bookmarkStart w:id="46" w:name="review-report"/>
    <w:p>
      <w:pPr>
        <w:pStyle w:val="Heading2"/>
      </w:pPr>
      <w:r>
        <w:t xml:space="preserve">5. Review &amp; Report</w:t>
      </w:r>
    </w:p>
    <w:bookmarkStart w:id="43" w:name="identification-of-emission-hotspots"/>
    <w:p>
      <w:pPr>
        <w:pStyle w:val="Heading3"/>
      </w:pPr>
      <w:r>
        <w:t xml:space="preserve">5.1. Identification of Emission Hotspots</w:t>
      </w:r>
    </w:p>
    <w:p>
      <w:pPr>
        <w:pStyle w:val="FirstParagraph"/>
      </w:pPr>
      <w:r>
        <w:t xml:space="preserve">Based on the illustrative calculations, the primary emission hotspots for onykrufjgh are:</w:t>
      </w:r>
    </w:p>
    <w:p>
      <w:pPr>
        <w:numPr>
          <w:ilvl w:val="0"/>
          <w:numId w:val="1013"/>
        </w:numPr>
        <w:pStyle w:val="Compact"/>
      </w:pPr>
      <w:r>
        <w:rPr>
          <w:bCs/>
          <w:b/>
        </w:rPr>
        <w:t xml:space="preserve">Use Phase (30.00 kgCO2e):</w:t>
      </w:r>
      <w:r>
        <w:t xml:space="preserve"> </w:t>
      </w:r>
      <w:r>
        <w:t xml:space="preserve">This constitutes the largest portion of the PCF, highlighting the significant impact of the product\'s energy consumption during its operational lifespan.</w:t>
      </w:r>
    </w:p>
    <w:p>
      <w:pPr>
        <w:numPr>
          <w:ilvl w:val="0"/>
          <w:numId w:val="1013"/>
        </w:numPr>
        <w:pStyle w:val="Compact"/>
      </w:pPr>
      <w:r>
        <w:rPr>
          <w:bCs/>
          <w:b/>
        </w:rPr>
        <w:t xml:space="preserve">Materials (9.76 kgCO2e):</w:t>
      </w:r>
      <w:r>
        <w:t xml:space="preserve"> </w:t>
      </w:r>
      <w:r>
        <w:t xml:space="preserve">Upstream material production, including aluminum, batteries, and plastics, represents another substantial contributor to the overall footprint.</w:t>
      </w:r>
    </w:p>
    <w:p>
      <w:pPr>
        <w:numPr>
          <w:ilvl w:val="0"/>
          <w:numId w:val="1013"/>
        </w:numPr>
        <w:pStyle w:val="Compact"/>
      </w:pPr>
      <w:r>
        <w:rPr>
          <w:bCs/>
          <w:b/>
        </w:rPr>
        <w:t xml:space="preserve">Production Energy (3.75 kgCO2e):</w:t>
      </w:r>
      <w:r>
        <w:t xml:space="preserve"> </w:t>
      </w:r>
      <w:r>
        <w:t xml:space="preserve">Despite 75% renewable energy usage, the remaining non-renewable electricity still contributes a notable share.</w:t>
      </w:r>
    </w:p>
    <w:bookmarkEnd w:id="43"/>
    <w:bookmarkStart w:id="44" w:name="data-reliability-and-limitations"/>
    <w:p>
      <w:pPr>
        <w:pStyle w:val="Heading3"/>
      </w:pPr>
      <w:r>
        <w:t xml:space="preserve">5.2. Data Reliability and Limitations</w:t>
      </w:r>
    </w:p>
    <w:p>
      <w:pPr>
        <w:pStyle w:val="FirstParagraph"/>
      </w:pPr>
      <w:r>
        <w:t xml:space="preserve">The reliability of this PCF analysis is high due to the use of specific BOM data and a structured methodology. However, as some parameters were provided as placeholders, the numerical results are illustrative. Actual primary data for transport modes, distances, specific energy consumption, and precise end-of-life waste management routes would enhance the accuracy. Emission factors from databases like Ecoinvent and DEFRA are widely accepted, but regional variations and specific supplier data can further refine the assessment.</w:t>
      </w:r>
    </w:p>
    <w:bookmarkEnd w:id="44"/>
    <w:bookmarkStart w:id="45" w:name="recommendations-for-emission-reduction"/>
    <w:p>
      <w:pPr>
        <w:pStyle w:val="Heading3"/>
      </w:pPr>
      <w:r>
        <w:t xml:space="preserve">5.3. Recommendations for Emission Reduction</w:t>
      </w:r>
    </w:p>
    <w:p>
      <w:pPr>
        <w:numPr>
          <w:ilvl w:val="0"/>
          <w:numId w:val="1014"/>
        </w:numPr>
        <w:pStyle w:val="Compact"/>
      </w:pPr>
      <w:r>
        <w:rPr>
          <w:bCs/>
          <w:b/>
        </w:rPr>
        <w:t xml:space="preserve">Optimize Use Phase:</w:t>
      </w:r>
      <w:r>
        <w:t xml:space="preserve"> </w:t>
      </w:r>
      <w:r>
        <w:t xml:space="preserve">Focus on improving the energy efficiency of onykrufjgh to reduce its operational energy consumption. Investigate alternative power sources for end-users or design for lower power draw.</w:t>
      </w:r>
    </w:p>
    <w:p>
      <w:pPr>
        <w:numPr>
          <w:ilvl w:val="0"/>
          <w:numId w:val="1014"/>
        </w:numPr>
        <w:pStyle w:val="Compact"/>
      </w:pPr>
      <w:r>
        <w:rPr>
          <w:bCs/>
          <w:b/>
        </w:rPr>
        <w:t xml:space="preserve">Sustainable Material Sourcing:</w:t>
      </w:r>
      <w:r>
        <w:t xml:space="preserve"> </w:t>
      </w:r>
      <w:r>
        <w:t xml:space="preserve">Explore opportunities to substitute high-impact materials with lower-carbon alternatives, increase recycled content (e.g., beyond the current 80% recyclability target if feasible), or collaborate with suppliers to reduce their production emissions.</w:t>
      </w:r>
    </w:p>
    <w:p>
      <w:pPr>
        <w:numPr>
          <w:ilvl w:val="0"/>
          <w:numId w:val="1014"/>
        </w:numPr>
        <w:pStyle w:val="Compact"/>
      </w:pPr>
      <w:r>
        <w:rPr>
          <w:bCs/>
          <w:b/>
        </w:rPr>
        <w:t xml:space="preserve">Enhance Renewable Energy Adoption:</w:t>
      </w:r>
      <w:r>
        <w:t xml:space="preserve"> </w:t>
      </w:r>
      <w:r>
        <w:t xml:space="preserve">While 75% renewable usage is commendable, further increasing the share of renewable energy in the manufacturing process (Scope 2) in China would directly reduce emissions.</w:t>
      </w:r>
    </w:p>
    <w:p>
      <w:pPr>
        <w:numPr>
          <w:ilvl w:val="0"/>
          <w:numId w:val="1014"/>
        </w:numPr>
        <w:pStyle w:val="Compact"/>
      </w:pPr>
      <w:r>
        <w:rPr>
          <w:bCs/>
          <w:b/>
        </w:rPr>
        <w:t xml:space="preserve">Logistics Optimization:</w:t>
      </w:r>
      <w:r>
        <w:t xml:space="preserve"> </w:t>
      </w:r>
      <w:r>
        <w:t xml:space="preserve">Optimize transport routes, modes (e.g., shifting to lower-emission options like rail or sea where feasible), and consolidate shipments to reduce distribution emissions.</w:t>
      </w:r>
    </w:p>
    <w:p>
      <w:pPr>
        <w:numPr>
          <w:ilvl w:val="0"/>
          <w:numId w:val="1014"/>
        </w:numPr>
        <w:pStyle w:val="Compact"/>
      </w:pPr>
      <w:r>
        <w:rPr>
          <w:bCs/>
          <w:b/>
        </w:rPr>
        <w:t xml:space="preserve">Strengthen Circular Economy Initiatives:</w:t>
      </w:r>
      <w:r>
        <w:t xml:space="preserve"> </w:t>
      </w:r>
      <w:r>
        <w:t xml:space="preserve">Leverage the existing take-back programs to maximize recycling and refurbishment, potentially moving towards product-as-a-service models to extend product life and capture materials.</w: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onykrufjgh - ekwguxzeth</dc:title>
  <dc:creator/>
  <dc:description>High-detail Product Carbon Footprint (PCF) analysis report for onykrufjgh, developed for ekwguxzeth by Senior Sustainability Consultant eolyqyhikw, adhering to GHG Protocol standards and 2026 updates.</dc:description>
  <dc:language>en</dc:language>
  <cp:keywords/>
  <dcterms:created xsi:type="dcterms:W3CDTF">2026-07-15T02:38:36Z</dcterms:created>
  <dcterms:modified xsi:type="dcterms:W3CDTF">2026-07-15T02:38:36Z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