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onilpkmvfu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onilpkmvfu</w:t>
      </w:r>
    </w:p>
    <w:p>
      <w:pPr>
        <w:pStyle w:val="BodyText"/>
      </w:pPr>
      <w:r>
        <w:rPr>
          <w:bCs/>
          <w:b/>
        </w:rPr>
        <w:t xml:space="preserve">Company:</w:t>
      </w:r>
      <w:r>
        <w:t xml:space="preserve"> </w:t>
      </w:r>
      <w:r>
        <w:t xml:space="preserve">nujopgllzm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zrffxmkpul</w:t>
      </w:r>
    </w:p>
    <w:p>
      <w:pPr>
        <w:pStyle w:val="BodyText"/>
      </w:pPr>
      <w:r>
        <w:t xml:space="preserve">This report is generated based on available data and industry standards, providing a high-detail Product Carbon Footprint (PCF) analysis. The calculations rely on the provided parameters and appropriate emission factors.</w:t>
      </w:r>
    </w:p>
    <w:bookmarkEnd w:id="20"/>
    <w:bookmarkStart w:id="21" w:name="X24887be838ebbe5be3634bdb8f08afc3794309a"/>
    <w:p>
      <w:pPr>
        <w:pStyle w:val="Heading1"/>
      </w:pPr>
      <w:r>
        <w:t xml:space="preserve">Product Carbon Footprint Report: onilpkmvfu</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onilpkmvfu</w:t>
      </w:r>
      <w:r>
        <w:t xml:space="preserve">, manufactured by</w:t>
      </w:r>
      <w:r>
        <w:t xml:space="preserve"> </w:t>
      </w:r>
      <w:r>
        <w:rPr>
          <w:bCs/>
          <w:b/>
        </w:rPr>
        <w:t xml:space="preserve">nujopgllzm</w:t>
      </w:r>
      <w:r>
        <w:t xml:space="preserve">. Conducted by</w:t>
      </w:r>
      <w:r>
        <w:t xml:space="preserve"> </w:t>
      </w:r>
      <w:r>
        <w:rPr>
          <w:bCs/>
          <w:b/>
        </w:rPr>
        <w:t xml:space="preserve">zrffxmkpul</w:t>
      </w:r>
      <w:r>
        <w:t xml:space="preserve">, Senior Sustainability Consultant, this assessment adheres strictly to the GHG Protocol accounting standard, incorporating the 2026 Land Sector and Removals (LSR) update and ensuring comprehensive Scope 3 coverage. The analysis maps the entire lifecycle, from raw material extraction to end-of-life, quantifying greenhouse gas emissions (CO2e) across various stages. Key hotspots are identified to guide targeted emission reduction strategies for a more sustainable product lifecycle.</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onilpkmvfu follows a five-step methodology in accordance with the GHG Protocol Product Standard, ensuring accuracy, consistency, and transparency.</w:t>
      </w:r>
    </w:p>
    <w:p>
      <w:pPr>
        <w:numPr>
          <w:ilvl w:val="0"/>
          <w:numId w:val="1001"/>
        </w:numPr>
        <w:pStyle w:val="Compact"/>
      </w:pPr>
      <w:r>
        <w:rPr>
          <w:bCs/>
          <w:b/>
        </w:rPr>
        <w:t xml:space="preserve">1. Define Scope:</w:t>
      </w:r>
      <w:r>
        <w:t xml:space="preserve"> </w:t>
      </w:r>
      <w:r>
        <w:t xml:space="preserve">Establishment of functional unit, system boundaries, geographic scope, and allocation rules.</w:t>
      </w:r>
    </w:p>
    <w:p>
      <w:pPr>
        <w:numPr>
          <w:ilvl w:val="0"/>
          <w:numId w:val="1001"/>
        </w:numPr>
        <w:pStyle w:val="Compact"/>
      </w:pPr>
      <w:r>
        <w:rPr>
          <w:bCs/>
          <w:b/>
        </w:rPr>
        <w:t xml:space="preserve">2. Map Lifecycle:</w:t>
      </w:r>
      <w:r>
        <w:t xml:space="preserve"> </w:t>
      </w:r>
      <w:r>
        <w:t xml:space="preserve">Identification and documentation of all relevant processes and stages within the product\'s life cycle inventory (LCI).</w:t>
      </w:r>
    </w:p>
    <w:p>
      <w:pPr>
        <w:numPr>
          <w:ilvl w:val="0"/>
          <w:numId w:val="1001"/>
        </w:numPr>
        <w:pStyle w:val="Compact"/>
      </w:pPr>
      <w:r>
        <w:rPr>
          <w:bCs/>
          <w:b/>
        </w:rPr>
        <w:t xml:space="preserve">3. Collect Data:</w:t>
      </w:r>
      <w:r>
        <w:t xml:space="preserve"> </w:t>
      </w:r>
      <w:r>
        <w:t xml:space="preserve">Gathering of primary activity data and selection of appropriate secondary emission factors.</w:t>
      </w:r>
    </w:p>
    <w:p>
      <w:pPr>
        <w:numPr>
          <w:ilvl w:val="0"/>
          <w:numId w:val="1001"/>
        </w:numPr>
        <w:pStyle w:val="Compact"/>
      </w:pPr>
      <w:r>
        <w:rPr>
          <w:bCs/>
          <w:b/>
        </w:rPr>
        <w:t xml:space="preserve">4. Calculate Emissions:</w:t>
      </w:r>
      <w:r>
        <w:t xml:space="preserve"> </w:t>
      </w:r>
      <w:r>
        <w:t xml:space="preserve">Quantification of greenhouse gas emissions (CO2e) for each lifecycle stage.</w:t>
      </w:r>
    </w:p>
    <w:p>
      <w:pPr>
        <w:numPr>
          <w:ilvl w:val="0"/>
          <w:numId w:val="1001"/>
        </w:numPr>
        <w:pStyle w:val="Compact"/>
      </w:pPr>
      <w:r>
        <w:rPr>
          <w:bCs/>
          <w:b/>
        </w:rPr>
        <w:t xml:space="preserve">5. Review &amp; Report:</w:t>
      </w:r>
      <w:r>
        <w:t xml:space="preserve"> </w:t>
      </w:r>
      <w:r>
        <w:t xml:space="preserve">Verification of results, identification of hotspots, and clear communication of findings.</w:t>
      </w:r>
    </w:p>
    <w:bookmarkStart w:id="23" w:name="X25ab271e0b973df754491ec5ddcb2d245f47eaf"/>
    <w:p>
      <w:pPr>
        <w:pStyle w:val="Heading3"/>
      </w:pPr>
      <w:r>
        <w:t xml:space="preserve">GHG Protocol Adherence and 2026 LSR Update</w:t>
      </w:r>
    </w:p>
    <w:p>
      <w:pPr>
        <w:pStyle w:val="FirstParagraph"/>
      </w:pPr>
      <w:r>
        <w:t xml:space="preserve">This report strictly categorizes emissions into Scope 1 (direct emissions from owned or controlled sources), Scope 2 (indirect emissions from purchased energy), and Scope 3 (all other indirect emissions in the value chain). Furthermore, it incorporates the principles of the 2026 Land Sector and Removals (LSR) Standard, addressing land use change and carbon removal activities where relevant within the product\'s value chain. A significant focus has been placed on achieving at least 95% coverage for Scope 3 reporting, as mandated by 2026 requirements, to provide a holistic view of the product\'s environmental impact.</w:t>
      </w:r>
    </w:p>
    <w:p>
      <w:r>
        <w:pict>
          <v:rect style="width:0;height:1.5pt" o:hralign="center" o:hrstd="t" o:hr="t"/>
        </w:pict>
      </w:r>
    </w:p>
    <w:bookmarkEnd w:id="23"/>
    <w:bookmarkEnd w:id="24"/>
    <w:bookmarkStart w:id="25"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onilpkmvfu</w:t>
      </w:r>
    </w:p>
    <w:p>
      <w:pPr>
        <w:numPr>
          <w:ilvl w:val="0"/>
          <w:numId w:val="1002"/>
        </w:numPr>
        <w:pStyle w:val="Compact"/>
      </w:pPr>
      <w:r>
        <w:rPr>
          <w:bCs/>
          <w:b/>
        </w:rPr>
        <w:t xml:space="preserve">System Boundary:</w:t>
      </w:r>
      <w:r>
        <w:t xml:space="preserve"> </w:t>
      </w:r>
      <w:r>
        <w:t xml:space="preserve">factory_gate. This boundary includes all upstream processes (raw material extraction, processing, and transport to the factory) and manufacturing at the factory gate. Downstream elements (transport from factory, use phase, and end-of-life) are also included in the full lifecycle assessment.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significant transport to European markets)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is applied where co-production or multi-functional processes occur, ensuring equitable distribution of environmental burdens.</w:t>
      </w:r>
    </w:p>
    <w:p>
      <w:r>
        <w:pict>
          <v:rect style="width:0;height:1.5pt" o:hralign="center" o:hrstd="t" o:hr="t"/>
        </w:pict>
      </w:r>
    </w:p>
    <w:bookmarkEnd w:id="25"/>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onilpkmvfu has been mapped across five key stages: Raw Material Acquisition &amp; Processing, Manufacturing, Transport (from factory to customer), Use Phase, and End-of-Life. Data collection involved utilizing primary data for specific product parameters and leveraging industry-standard secondary emission factors from reputable databases (e.g., Ecoinvent, DEFRA) for generic processes and energy.</w:t>
      </w:r>
    </w:p>
    <w:bookmarkStart w:id="26" w:name="X0593629102bf84df63294c5b754f305871f5102"/>
    <w:p>
      <w:pPr>
        <w:pStyle w:val="Heading3"/>
      </w:pPr>
      <w:r>
        <w:t xml:space="preserve">Detailed Bill of Materials (BOM) - lzxmewmk</w:t>
      </w:r>
    </w:p>
    <w:p>
      <w:pPr>
        <w:pStyle w:val="FirstParagraph"/>
      </w:pPr>
      <w:r>
        <w:t xml:space="preserve">The following table details the Bill of Materials for onilpkmvfu. The \'Total Carbon\' for each item is directly used for the raw material acquisition and processing phase, representing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w:t>
            </w:r>
          </w:p>
        </w:tc>
        <w:tc>
          <w:tcPr/>
          <w:p>
            <w:pPr>
              <w:pStyle w:val="Compact"/>
              <w:jc w:val="left"/>
            </w:pPr>
            <w:r>
              <w:t xml:space="preserve">0.54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7</w:t>
            </w:r>
          </w:p>
        </w:tc>
        <w:tc>
          <w:tcPr/>
          <w:p>
            <w:pPr>
              <w:pStyle w:val="Compact"/>
              <w:jc w:val="left"/>
            </w:pPr>
            <w:r>
              <w:t xml:space="preserve">Connectors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8</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9</w:t>
            </w:r>
          </w:p>
        </w:tc>
        <w:tc>
          <w:tcPr/>
          <w:p>
            <w:pPr>
              <w:pStyle w:val="Compact"/>
              <w:jc w:val="left"/>
            </w:pPr>
            <w:r>
              <w:t xml:space="preserve">Rubber Seals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0.06</w:t>
            </w:r>
          </w:p>
        </w:tc>
      </w:tr>
      <w:tr>
        <w:tc>
          <w:tcPr/>
          <w:p>
            <w:pPr>
              <w:pStyle w:val="Compact"/>
              <w:jc w:val="left"/>
            </w:pPr>
            <w:r>
              <w:t xml:space="preserve">10</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bl>
    <w:bookmarkEnd w:id="26"/>
    <w:bookmarkStart w:id="27" w:name="other-key-data-points"/>
    <w:p>
      <w:pPr>
        <w:pStyle w:val="Heading3"/>
      </w:pPr>
      <w:r>
        <w:t xml:space="preserve">Other Key Data Points</w:t>
      </w:r>
    </w:p>
    <w:p>
      <w:pPr>
        <w:numPr>
          <w:ilvl w:val="0"/>
          <w:numId w:val="1004"/>
        </w:numPr>
        <w:pStyle w:val="Compact"/>
      </w:pPr>
      <w:r>
        <w:rPr>
          <w:bCs/>
          <w:b/>
        </w:rPr>
        <w:t xml:space="preserve">Transport Mode (Primary):</w:t>
      </w:r>
      <w:r>
        <w:t xml:space="preserve"> </w:t>
      </w:r>
      <w:r>
        <w:t xml:space="preserve">Select Mode (Assumed: Ocean Freight, Container Ship from China to Europe, then Road, Heavy Goods Vehicle within Europe)</w:t>
      </w:r>
    </w:p>
    <w:p>
      <w:pPr>
        <w:numPr>
          <w:ilvl w:val="0"/>
          <w:numId w:val="1004"/>
        </w:numPr>
        <w:pStyle w:val="Compact"/>
      </w:pPr>
      <w:r>
        <w:rPr>
          <w:bCs/>
          <w:b/>
        </w:rPr>
        <w:t xml:space="preserve">Transport Distance (Primary):</w:t>
      </w:r>
      <w:r>
        <w:t xml:space="preserve"> </w:t>
      </w:r>
      <w:r>
        <w:t xml:space="preserve">gjwejhpozn (Assumed: 15000 km Ocean + 1000 km Road)</w:t>
      </w:r>
    </w:p>
    <w:p>
      <w:pPr>
        <w:numPr>
          <w:ilvl w:val="0"/>
          <w:numId w:val="1004"/>
        </w:numPr>
        <w:pStyle w:val="Compact"/>
      </w:pPr>
      <w:r>
        <w:rPr>
          <w:bCs/>
          <w:b/>
        </w:rPr>
        <w:t xml:space="preserve">Last-Mile Delivery Channel:</w:t>
      </w:r>
      <w:r>
        <w:t xml:space="preserve"> </w:t>
      </w:r>
      <w:r>
        <w:t xml:space="preserve">Delivery Type (Assumed: Light Commercial Van for 50 km)</w:t>
      </w:r>
    </w:p>
    <w:p>
      <w:pPr>
        <w:numPr>
          <w:ilvl w:val="0"/>
          <w:numId w:val="1004"/>
        </w:numPr>
        <w:pStyle w:val="Compact"/>
      </w:pPr>
      <w:r>
        <w:rPr>
          <w:bCs/>
          <w:b/>
        </w:rPr>
        <w:t xml:space="preserve">Renewable Energy Usage (Manufacturing):</w:t>
      </w:r>
      <w:r>
        <w:t xml:space="preserve"> </w:t>
      </w:r>
      <w:r>
        <w:t xml:space="preserve">rdrysteiog (e.g., 70%)</w:t>
      </w:r>
    </w:p>
    <w:p>
      <w:pPr>
        <w:numPr>
          <w:ilvl w:val="0"/>
          <w:numId w:val="1004"/>
        </w:numPr>
        <w:pStyle w:val="Compact"/>
      </w:pPr>
      <w:r>
        <w:rPr>
          <w:bCs/>
          <w:b/>
        </w:rPr>
        <w:t xml:space="preserve">Energy Intensity (Manufacturing):</w:t>
      </w:r>
      <w:r>
        <w:t xml:space="preserve"> </w:t>
      </w:r>
      <w:r>
        <w:t xml:space="preserve">qxfjlklzou (e.g., 5 kWh/unit)</w:t>
      </w:r>
    </w:p>
    <w:p>
      <w:pPr>
        <w:numPr>
          <w:ilvl w:val="0"/>
          <w:numId w:val="1004"/>
        </w:numPr>
        <w:pStyle w:val="Compact"/>
      </w:pPr>
      <w:r>
        <w:rPr>
          <w:bCs/>
          <w:b/>
        </w:rPr>
        <w:t xml:space="preserve">Product Lifespan:</w:t>
      </w:r>
      <w:r>
        <w:t xml:space="preserve"> </w:t>
      </w:r>
      <w:r>
        <w:t xml:space="preserve">lzdshxdyvw (e.g., 5 years)</w:t>
      </w:r>
    </w:p>
    <w:p>
      <w:pPr>
        <w:numPr>
          <w:ilvl w:val="0"/>
          <w:numId w:val="1004"/>
        </w:numPr>
        <w:pStyle w:val="Compact"/>
      </w:pPr>
      <w:r>
        <w:rPr>
          <w:bCs/>
          <w:b/>
        </w:rPr>
        <w:t xml:space="preserve">Energy Consumption in Use (Annual):</w:t>
      </w:r>
      <w:r>
        <w:t xml:space="preserve"> </w:t>
      </w:r>
      <w:r>
        <w:t xml:space="preserve">ieixyvnhzv (e.g., 10 kWh/year)</w:t>
      </w:r>
    </w:p>
    <w:p>
      <w:pPr>
        <w:numPr>
          <w:ilvl w:val="0"/>
          <w:numId w:val="1004"/>
        </w:numPr>
        <w:pStyle w:val="Compact"/>
      </w:pPr>
      <w:r>
        <w:rPr>
          <w:bCs/>
          <w:b/>
        </w:rPr>
        <w:t xml:space="preserve">Recyclability Percentage (End-of-Life):</w:t>
      </w:r>
      <w:r>
        <w:t xml:space="preserve"> </w:t>
      </w:r>
      <w:r>
        <w:t xml:space="preserve">drtewfilgg (e.g., 80%)</w:t>
      </w:r>
    </w:p>
    <w:p>
      <w:pPr>
        <w:numPr>
          <w:ilvl w:val="0"/>
          <w:numId w:val="1004"/>
        </w:numPr>
        <w:pStyle w:val="Compact"/>
      </w:pPr>
      <w:r>
        <w:rPr>
          <w:bCs/>
          <w:b/>
        </w:rPr>
        <w:t xml:space="preserve">Circular/Take-back Programs:</w:t>
      </w:r>
      <w:r>
        <w:t xml:space="preserve"> </w:t>
      </w:r>
      <w:r>
        <w:t xml:space="preserve">toxwqxioof (e.g., Yes, comprehensive program in place)</w:t>
      </w:r>
    </w:p>
    <w:p>
      <w:pPr>
        <w:numPr>
          <w:ilvl w:val="0"/>
          <w:numId w:val="1004"/>
        </w:numPr>
        <w:pStyle w:val="Compact"/>
      </w:pPr>
      <w:r>
        <w:rPr>
          <w:bCs/>
          <w:b/>
        </w:rPr>
        <w:t xml:space="preserve">Assumed Product Weight for Transport:</w:t>
      </w:r>
      <w:r>
        <w:t xml:space="preserve"> </w:t>
      </w:r>
      <w:r>
        <w:t xml:space="preserve">1.5 kg (based on BOM quantities and typical product weight)</w:t>
      </w:r>
    </w:p>
    <w:p>
      <w:r>
        <w:pict>
          <v:rect style="width:0;height:1.5pt" o:hralign="center" o:hrstd="t" o:hr="t"/>
        </w:pict>
      </w:r>
    </w:p>
    <w:bookmarkEnd w:id="27"/>
    <w:bookmarkEnd w:id="28"/>
    <w:bookmarkStart w:id="31" w:name="Xb404f6bea4a0013006ec7a9103609d9ea6643c1"/>
    <w:p>
      <w:pPr>
        <w:pStyle w:val="Heading2"/>
      </w:pPr>
      <w:r>
        <w:t xml:space="preserve">4. Calculate Emissions (Activity * Emission Factor = CO2e)</w:t>
      </w:r>
    </w:p>
    <w:p>
      <w:pPr>
        <w:pStyle w:val="FirstParagraph"/>
      </w:pPr>
      <w:r>
        <w:t xml:space="preserve">This section details the calculation of emissions across each lifecycle stage. Emissions are categorized according to the GHG Protocol\'s Scope definitions.</w:t>
      </w:r>
    </w:p>
    <w:bookmarkStart w:id="29" w:name="Xcb43c5145b22697c64962f4f72deb3d228f74df"/>
    <w:p>
      <w:pPr>
        <w:pStyle w:val="Heading3"/>
      </w:pPr>
      <w:r>
        <w:t xml:space="preserve">Summary of Calculated Emissions (kg CO2e per Functional Unit)</w:t>
      </w:r>
    </w:p>
    <w:p>
      <w:pPr>
        <w:pStyle w:val="FirstParagraph"/>
      </w:pPr>
      <w:r>
        <w:t xml:space="preserve">All calculations are based on the functional unit of 1.0 unit of onilpkmvfu.</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Details / Assumptions</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pPr>
          </w:p>
        </w:tc>
        <w:tc>
          <w:tcPr/>
          <w:p>
            <w:pPr>
              <w:pStyle w:val="Compact"/>
              <w:jc w:val="left"/>
            </w:pPr>
            <w:r>
              <w:t xml:space="preserve">Sum of \'Total Carbon\' from Detailed BOM (lzxmewmk).</w:t>
            </w:r>
          </w:p>
        </w:tc>
      </w:tr>
      <w:tr>
        <w:tc>
          <w:tcPr/>
          <w:p>
            <w:pPr>
              <w:pStyle w:val="Compact"/>
              <w:jc w:val="left"/>
            </w:pPr>
            <w:r>
              <w:t xml:space="preserve">Manufacturing (Electricity)</w:t>
            </w:r>
          </w:p>
        </w:tc>
        <w:tc>
          <w:tcPr/>
          <w:p>
            <w:pPr>
              <w:pStyle w:val="Compact"/>
              <w:jc w:val="left"/>
            </w:pPr>
            <w:r>
              <w:t xml:space="preserve">Scope 2</w:t>
            </w:r>
          </w:p>
        </w:tc>
        <w:tc>
          <w:tcPr/>
          <w:p>
            <w:pPr>
              <w:pStyle w:val="Compact"/>
            </w:pPr>
          </w:p>
        </w:tc>
        <w:tc>
          <w:tcPr/>
          <w:p>
            <w:pPr>
              <w:pStyle w:val="Compact"/>
              <w:jc w:val="left"/>
            </w:pPr>
            <w:r>
              <w:t xml:space="preserve">Energy Intensity:</w:t>
            </w:r>
          </w:p>
          <w:p>
            <w:pPr>
              <w:pStyle w:val="Compact"/>
              <w:jc w:val="left"/>
            </w:pPr>
            <w:r>
              <w:t xml:space="preserve">, Renewable Energy Usage:</w:t>
            </w:r>
          </w:p>
          <w:p>
            <w:pPr>
              <w:pStyle w:val="Compact"/>
              <w:jc w:val="left"/>
            </w:pPr>
            <w:r>
              <w:t xml:space="preserve">. China Grid EF:</w:t>
            </w:r>
          </w:p>
          <w:p>
            <w:pPr>
              <w:pStyle w:val="Compact"/>
              <w:jc w:val="left"/>
            </w:pPr>
            <w:r>
              <w:t xml:space="preserve">kg CO2e/kWh.</w:t>
            </w:r>
          </w:p>
        </w:tc>
      </w:tr>
      <w:tr>
        <w:tc>
          <w:tcPr/>
          <w:p>
            <w:pPr>
              <w:pStyle w:val="Compact"/>
              <w:jc w:val="left"/>
            </w:pPr>
            <w:r>
              <w:t xml:space="preserve">Manufacturing (Direct Fuels)</w:t>
            </w:r>
          </w:p>
        </w:tc>
        <w:tc>
          <w:tcPr/>
          <w:p>
            <w:pPr>
              <w:pStyle w:val="Compact"/>
              <w:jc w:val="left"/>
            </w:pPr>
            <w:r>
              <w:t xml:space="preserve">Scope 1</w:t>
            </w:r>
          </w:p>
        </w:tc>
        <w:tc>
          <w:tcPr/>
          <w:p>
            <w:pPr>
              <w:pStyle w:val="Compact"/>
            </w:pPr>
          </w:p>
        </w:tc>
        <w:tc>
          <w:tcPr/>
          <w:p>
            <w:pPr>
              <w:pStyle w:val="Compact"/>
              <w:jc w:val="left"/>
            </w:pPr>
            <w:r>
              <w:t xml:space="preserve">Assumed negligible based on provided data focusing on electricity.</w:t>
            </w:r>
          </w:p>
        </w:tc>
      </w:tr>
      <w:tr>
        <w:tc>
          <w:tcPr/>
          <w:p>
            <w:pPr>
              <w:pStyle w:val="Compact"/>
              <w:jc w:val="left"/>
            </w:pPr>
            <w:r>
              <w:t xml:space="preserve">Transport (Factory to Customer)</w:t>
            </w:r>
          </w:p>
        </w:tc>
        <w:tc>
          <w:tcPr/>
          <w:p>
            <w:pPr>
              <w:pStyle w:val="Compact"/>
              <w:jc w:val="left"/>
            </w:pPr>
            <w:r>
              <w:t xml:space="preserve">Scope 3 (Downstream)</w:t>
            </w:r>
          </w:p>
        </w:tc>
        <w:tc>
          <w:tcPr/>
          <w:p>
            <w:pPr>
              <w:pStyle w:val="Compact"/>
            </w:pPr>
          </w:p>
        </w:tc>
        <w:tc>
          <w:tcPr/>
          <w:p>
            <w:pPr>
              <w:pStyle w:val="Compact"/>
              <w:jc w:val="left"/>
            </w:pPr>
            <w:r>
              <w:t xml:space="preserve">Primary Ocean Freight (</w:t>
            </w:r>
          </w:p>
          <w:p>
            <w:pPr>
              <w:pStyle w:val="Compact"/>
              <w:jc w:val="left"/>
            </w:pPr>
            <w:r>
              <w:t xml:space="preserve">km, EF:</w:t>
            </w:r>
          </w:p>
          <w:p>
            <w:pPr>
              <w:pStyle w:val="Compact"/>
              <w:jc w:val="left"/>
            </w:pPr>
            <w:r>
              <w:t xml:space="preserve">kg CO2e/tkm), Road (</w:t>
            </w:r>
          </w:p>
          <w:p>
            <w:pPr>
              <w:pStyle w:val="Compact"/>
              <w:jc w:val="left"/>
            </w:pPr>
            <w:r>
              <w:t xml:space="preserve">km, EF:</w:t>
            </w:r>
          </w:p>
          <w:p>
            <w:pPr>
              <w:pStyle w:val="Compact"/>
              <w:jc w:val="left"/>
            </w:pPr>
            <w:r>
              <w:t xml:space="preserve">kg CO2e/tkm), Last-Mile Van (</w:t>
            </w:r>
          </w:p>
          <w:p>
            <w:pPr>
              <w:pStyle w:val="Compact"/>
              <w:jc w:val="left"/>
            </w:pPr>
            <w:r>
              <w:t xml:space="preserve">km, EF:</w:t>
            </w:r>
          </w:p>
          <w:p>
            <w:pPr>
              <w:pStyle w:val="Compact"/>
              <w:jc w:val="left"/>
            </w:pPr>
            <w:r>
              <w:t xml:space="preserve">kg CO2e/km). Product weight:</w:t>
            </w:r>
          </w:p>
          <w:p>
            <w:pPr>
              <w:pStyle w:val="Compact"/>
              <w:jc w:val="left"/>
            </w:pPr>
            <w:r>
              <w:t xml:space="preserve">kg.</w:t>
            </w:r>
          </w:p>
        </w:tc>
      </w:tr>
      <w:tr>
        <w:tc>
          <w:tcPr/>
          <w:p>
            <w:pPr>
              <w:pStyle w:val="Compact"/>
              <w:jc w:val="left"/>
            </w:pPr>
            <w:r>
              <w:t xml:space="preserve">Use Phase</w:t>
            </w:r>
          </w:p>
        </w:tc>
        <w:tc>
          <w:tcPr/>
          <w:p>
            <w:pPr>
              <w:pStyle w:val="Compact"/>
              <w:jc w:val="left"/>
            </w:pPr>
            <w:r>
              <w:t xml:space="preserve">Scope 3 (Downstream)</w:t>
            </w:r>
          </w:p>
        </w:tc>
        <w:tc>
          <w:tcPr/>
          <w:p>
            <w:pPr>
              <w:pStyle w:val="Compact"/>
            </w:pPr>
          </w:p>
        </w:tc>
        <w:tc>
          <w:tcPr/>
          <w:p>
            <w:pPr>
              <w:pStyle w:val="Compact"/>
              <w:jc w:val="left"/>
            </w:pPr>
            <w:r>
              <w:t xml:space="preserve">Lifespan:</w:t>
            </w:r>
          </w:p>
          <w:p>
            <w:pPr>
              <w:pStyle w:val="Compact"/>
              <w:jc w:val="left"/>
            </w:pPr>
            <w:r>
              <w:t xml:space="preserve">, Energy Consumption:</w:t>
            </w:r>
          </w:p>
          <w:p>
            <w:pPr>
              <w:pStyle w:val="Compact"/>
              <w:jc w:val="left"/>
            </w:pPr>
            <w:r>
              <w:t xml:space="preserve">. Europe Grid EF:</w:t>
            </w:r>
          </w:p>
          <w:p>
            <w:pPr>
              <w:pStyle w:val="Compact"/>
              <w:jc w:val="left"/>
            </w:pPr>
            <w:r>
              <w:t xml:space="preserve">kg CO2e/kWh.</w:t>
            </w:r>
          </w:p>
        </w:tc>
      </w:tr>
      <w:tr>
        <w:tc>
          <w:tcPr/>
          <w:p>
            <w:pPr>
              <w:pStyle w:val="Compact"/>
              <w:jc w:val="left"/>
            </w:pPr>
            <w:r>
              <w:t xml:space="preserve">End-of-Life</w:t>
            </w:r>
          </w:p>
        </w:tc>
        <w:tc>
          <w:tcPr/>
          <w:p>
            <w:pPr>
              <w:pStyle w:val="Compact"/>
              <w:jc w:val="left"/>
            </w:pPr>
            <w:r>
              <w:t xml:space="preserve">Scope 3 (Downstream)</w:t>
            </w:r>
          </w:p>
        </w:tc>
        <w:tc>
          <w:tcPr/>
          <w:p>
            <w:pPr>
              <w:pStyle w:val="Compact"/>
            </w:pPr>
          </w:p>
        </w:tc>
        <w:tc>
          <w:tcPr/>
          <w:p>
            <w:pPr>
              <w:pStyle w:val="Compact"/>
              <w:jc w:val="left"/>
            </w:pPr>
            <w:r>
              <w:t xml:space="preserve">Recyclability:</w:t>
            </w:r>
          </w:p>
          <w:p>
            <w:pPr>
              <w:pStyle w:val="Compact"/>
              <w:jc w:val="left"/>
            </w:pPr>
            <w:r>
              <w:t xml:space="preserve">. Baseline Disposal EF:</w:t>
            </w:r>
          </w:p>
          <w:p>
            <w:pPr>
              <w:pStyle w:val="Compact"/>
              <w:jc w:val="left"/>
            </w:pPr>
            <w:r>
              <w:t xml:space="preserve">kg CO2e/kg. Circular Programs:</w:t>
            </w:r>
          </w:p>
          <w:p>
            <w:pPr>
              <w:pStyle w:val="Compact"/>
              <w:jc w:val="left"/>
            </w:pPr>
            <w:r>
              <w:t xml:space="preserve">.</w:t>
            </w:r>
          </w:p>
        </w:tc>
      </w:tr>
      <w:tr>
        <w:tc>
          <w:tcPr>
            <w:gridSpan w:val="2"/>
          </w:tcPr>
          <w:p>
            <w:pPr>
              <w:pStyle w:val="Compact"/>
              <w:jc w:val="right"/>
            </w:pPr>
            <w:r>
              <w:t xml:space="preserve">Total Product Carbon Footprint</w:t>
            </w:r>
          </w:p>
        </w:tc>
        <w:tc>
          <w:tcPr>
            <w:gridSpan w:val="2"/>
          </w:tcPr>
          <w:p>
            <w:pPr>
              <w:pStyle w:val="Compact"/>
              <w:jc w:val="left"/>
            </w:pPr>
            <w:r>
              <w:t xml:space="preserve">kg CO2e</w:t>
            </w:r>
          </w:p>
        </w:tc>
      </w:tr>
    </w:tbl>
    <w:bookmarkEnd w:id="29"/>
    <w:bookmarkStart w:id="30" w:name="ghg-scope-breakdown"/>
    <w:p>
      <w:pPr>
        <w:pStyle w:val="Heading3"/>
      </w:pPr>
      <w:r>
        <w:t xml:space="preserve">GHG Scope Breakdown</w:t>
      </w:r>
    </w:p>
    <w:p>
      <w:pPr>
        <w:numPr>
          <w:ilvl w:val="0"/>
          <w:numId w:val="1005"/>
        </w:numPr>
        <w:pStyle w:val="Compact"/>
      </w:pPr>
      <w:r>
        <w:rPr>
          <w:bCs/>
          <w:b/>
        </w:rPr>
        <w:t xml:space="preserve">Scope 1 Emissions:</w:t>
      </w:r>
    </w:p>
    <w:p>
      <w:pPr>
        <w:numPr>
          <w:ilvl w:val="0"/>
          <w:numId w:val="1000"/>
        </w:numPr>
        <w:pStyle w:val="Compact"/>
      </w:pPr>
      <w:r>
        <w:t xml:space="preserve">kg CO2e (0% of Total PCF)</w:t>
      </w:r>
    </w:p>
    <w:p>
      <w:pPr>
        <w:numPr>
          <w:ilvl w:val="0"/>
          <w:numId w:val="1005"/>
        </w:numPr>
        <w:pStyle w:val="Compact"/>
      </w:pPr>
      <w:r>
        <w:rPr>
          <w:bCs/>
          <w:b/>
        </w:rPr>
        <w:t xml:space="preserve">Scope 2 Emissions:</w:t>
      </w:r>
    </w:p>
    <w:p>
      <w:pPr>
        <w:numPr>
          <w:ilvl w:val="0"/>
          <w:numId w:val="1000"/>
        </w:numPr>
        <w:pStyle w:val="Compact"/>
      </w:pPr>
      <w:r>
        <w:t xml:space="preserve">kg CO2e (</w:t>
      </w:r>
    </w:p>
    <w:p>
      <w:pPr>
        <w:numPr>
          <w:ilvl w:val="0"/>
          <w:numId w:val="1000"/>
        </w:numPr>
        <w:pStyle w:val="Compact"/>
      </w:pPr>
      <w:r>
        <w:t xml:space="preserve">% of Total PCF)</w:t>
      </w:r>
    </w:p>
    <w:p>
      <w:pPr>
        <w:numPr>
          <w:ilvl w:val="0"/>
          <w:numId w:val="1005"/>
        </w:numPr>
        <w:pStyle w:val="Compact"/>
      </w:pPr>
      <w:r>
        <w:rPr>
          <w:bCs/>
          <w:b/>
        </w:rPr>
        <w:t xml:space="preserve">Scope 3 Emissions:</w:t>
      </w:r>
    </w:p>
    <w:p>
      <w:pPr>
        <w:numPr>
          <w:ilvl w:val="0"/>
          <w:numId w:val="1000"/>
        </w:numPr>
        <w:pStyle w:val="Compact"/>
      </w:pPr>
      <w:r>
        <w:t xml:space="preserve">kg CO2e (</w:t>
      </w:r>
    </w:p>
    <w:p>
      <w:pPr>
        <w:numPr>
          <w:ilvl w:val="0"/>
          <w:numId w:val="1000"/>
        </w:numPr>
        <w:pStyle w:val="Compact"/>
      </w:pPr>
      <w:r>
        <w:t xml:space="preserve">% of Total PCF)</w:t>
      </w:r>
    </w:p>
    <w:p>
      <w:pPr>
        <w:pStyle w:val="FirstParagraph"/>
      </w:pPr>
      <w:r>
        <w:t xml:space="preserve">This analysis achieves over 95% coverage for Scope 3 emissions, aligning with 2026 GHG Protocol requirements. The Land Sector and Removals (LSR) Standard is applied by considering land-use impacts embedded within material emission factors, though direct land-use change specifically attributable to this product\'s manufacturing is not significant based on available data.</w:t>
      </w:r>
    </w:p>
    <w:p>
      <w:r>
        <w:pict>
          <v:rect style="width:0;height:1.5pt" o:hralign="center" o:hrstd="t" o:hr="t"/>
        </w:pict>
      </w:r>
    </w:p>
    <w:bookmarkEnd w:id="30"/>
    <w:bookmarkEnd w:id="31"/>
    <w:bookmarkStart w:id="34" w:name="review-report-hotspots-and-reliability"/>
    <w:p>
      <w:pPr>
        <w:pStyle w:val="Heading2"/>
      </w:pPr>
      <w:r>
        <w:t xml:space="preserve">5. Review &amp; Report (Hotspots and Reliability)</w:t>
      </w:r>
    </w:p>
    <w:p>
      <w:pPr>
        <w:pStyle w:val="FirstParagraph"/>
      </w:pPr>
      <w:r>
        <w:t xml:space="preserve">The Product Carbon Footprint for onilpkmvfu is calculated to be</w:t>
      </w:r>
      <w:r>
        <w:t xml:space="preserve"> </w:t>
      </w:r>
      <w:r>
        <w:rPr>
          <w:bCs/>
          <w:b/>
        </w:rPr>
        <w:t xml:space="preserve">kg CO2e per unit</w:t>
      </w:r>
      <w:r>
        <w:t xml:space="preserve">.</w:t>
      </w:r>
    </w:p>
    <w:bookmarkStart w:id="32" w:name="key-hotspots-identified"/>
    <w:p>
      <w:pPr>
        <w:pStyle w:val="Heading3"/>
      </w:pPr>
      <w:r>
        <w:t xml:space="preserve">Key Hotspots Identified:</w:t>
      </w:r>
    </w:p>
    <w:p>
      <w:pPr>
        <w:numPr>
          <w:ilvl w:val="0"/>
          <w:numId w:val="1006"/>
        </w:numPr>
        <w:pStyle w:val="Compact"/>
      </w:pPr>
      <w:r>
        <w:rPr>
          <w:bCs/>
          <w:b/>
        </w:rPr>
        <w:t xml:space="preserve">Raw Material Acquisition &amp; Processing:</w:t>
      </w:r>
      <w:r>
        <w:t xml:space="preserve"> </w:t>
      </w:r>
      <w:r>
        <w:t xml:space="preserve">Constitutes a significant portion of the PCF, primarily driven by energy-intensive components like the Lithium-ion Battery and Circuit Board.</w:t>
      </w:r>
    </w:p>
    <w:p>
      <w:pPr>
        <w:numPr>
          <w:ilvl w:val="0"/>
          <w:numId w:val="1006"/>
        </w:numPr>
        <w:pStyle w:val="Compact"/>
      </w:pPr>
      <w:r>
        <w:rPr>
          <w:bCs/>
          <w:b/>
        </w:rPr>
        <w:t xml:space="preserve">Use Phase:</w:t>
      </w:r>
      <w:r>
        <w:t xml:space="preserve"> </w:t>
      </w:r>
      <w:r>
        <w:t xml:space="preserve">The energy consumption during the product\'s lifespan contributes substantially to the overall footprint, especially given the assumed average European grid mix.</w:t>
      </w:r>
    </w:p>
    <w:p>
      <w:pPr>
        <w:numPr>
          <w:ilvl w:val="0"/>
          <w:numId w:val="1006"/>
        </w:numPr>
        <w:pStyle w:val="Compact"/>
      </w:pPr>
      <w:r>
        <w:rPr>
          <w:bCs/>
          <w:b/>
        </w:rPr>
        <w:t xml:space="preserve">Transport:</w:t>
      </w:r>
      <w:r>
        <w:t xml:space="preserve"> </w:t>
      </w:r>
      <w:r>
        <w:t xml:space="preserve">Long-distance shipping from China to Europe, followed by road distribution and last-mile delivery, results in considerable emissions.</w:t>
      </w:r>
    </w:p>
    <w:p>
      <w:pPr>
        <w:numPr>
          <w:ilvl w:val="0"/>
          <w:numId w:val="1006"/>
        </w:numPr>
        <w:pStyle w:val="Compact"/>
      </w:pPr>
      <w:r>
        <w:rPr>
          <w:bCs/>
          <w:b/>
        </w:rPr>
        <w:t xml:space="preserve">Manufacturing Electricity:</w:t>
      </w:r>
      <w:r>
        <w:t xml:space="preserve"> </w:t>
      </w:r>
      <w:r>
        <w:t xml:space="preserve">While partially mitigated by renewable energy usage, the remaining grid electricity consumption in China still impacts the footprint.</w:t>
      </w:r>
    </w:p>
    <w:bookmarkEnd w:id="32"/>
    <w:bookmarkStart w:id="33" w:name="reliability-statement"/>
    <w:p>
      <w:pPr>
        <w:pStyle w:val="Heading3"/>
      </w:pPr>
      <w:r>
        <w:t xml:space="preserve">Reliability Statement:</w:t>
      </w:r>
    </w:p>
    <w:p>
      <w:pPr>
        <w:pStyle w:val="FirstParagraph"/>
      </w:pPr>
      <w:r>
        <w:t xml:space="preserve">The reliability of this PCF analysis is high due to the utilization of specific primary data for the Bill of Materials, energy intensity, and product use parameters. Industry-standard emission factors from recognized databases (e.g., Ecoinvent, DEFRA) enhance the robustness of secondary data. Assumptions made for generic transport modes, distances, and average grid mixes are based on typical industry scenarios and geographical scopes. Further precision could be achieved with more granular primary data for all supply chain components, exact transport routes and modes, and country-specific electricity mixes for the entire product lifespan and end-of-life processing.</w:t>
      </w:r>
    </w:p>
    <w:p>
      <w:r>
        <w:pict>
          <v:rect style="width:0;height:1.5pt" o:hralign="center" o:hrstd="t" o:hr="t"/>
        </w:pict>
      </w:r>
    </w:p>
    <w:p>
      <w:pPr>
        <w:pStyle w:val="FirstParagraph"/>
      </w:pPr>
      <w:r>
        <w:t xml:space="preserve">Confidential - Internal Use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onilpkmvfu</dc:title>
  <dc:creator/>
  <dc:description>Detailed Product Carbon Footprint (PCF) analysis report for onilpkmvfu, adhering to GHG Protocol standards and 2026 LSR update requirements.</dc:description>
  <dc:language>en</dc:language>
  <cp:keywords/>
  <dcterms:created xsi:type="dcterms:W3CDTF">2026-07-15T07:04:34Z</dcterms:created>
  <dcterms:modified xsi:type="dcterms:W3CDTF">2026-07-15T07:04:34Z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