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omeqtvkfqh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omeqtvkfqh</w:t>
      </w:r>
    </w:p>
    <w:p>
      <w:pPr>
        <w:pStyle w:val="BodyText"/>
      </w:pPr>
      <w:r>
        <w:rPr>
          <w:bCs/>
          <w:b/>
        </w:rPr>
        <w:t xml:space="preserve">Company:</w:t>
      </w:r>
      <w:r>
        <w:t xml:space="preserve"> </w:t>
      </w:r>
      <w:r>
        <w:t xml:space="preserve">zejeopthlu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srlfovpedz</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data availability. Illustrative values have been used for parameters where specific data was provided as a placeholder.</w:t>
      </w:r>
    </w:p>
    <w:bookmarkEnd w:id="20"/>
    <w:bookmarkStart w:id="21" w:name="product-carbon-footprint-analysis"/>
    <w:p>
      <w:pPr>
        <w:pStyle w:val="Heading1"/>
      </w:pPr>
      <w:r>
        <w:t xml:space="preserve">Product Carbon Footprint Analysis</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comprehensive Product Carbon Footprint (PCF) analysis for the product omeqtvkfqh, manufactured by zejeopthlu. The analysis, conducted by Senior Sustainability Consultant srlfovpedz, adheres strictly to the Greenhouse Gas (GHG) Protocol standards, including the 2026 Land Sector and Removals (LSR) update, with a focus on achieving at least 95% coverage for Scope 3 emissions. The total estimated cradle-to-grave carbon footprint for one functional unit of omeqtvkfqh is detailed across its entire lifecycle, identifying key hotspots and opportunities for emissions reduction.</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analysis is conducted in accordance with the Greenhouse Gas (GHG) Protocol Product Standard. Emissions are categorized into Scope 1 (direct emissions from owned or controlled sources), Scope 2 (indirect emissions from the generation of purchased energy), and Scope 3 (all other indirect emissions in the value chain, both upstream and downstream). The 2026 Land Sector and Removals (LSR) Standard has also been applied to account for land use and carbon removals, although no significant direct LSR impacts were identified for this product based on current data.</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omeqtvkfqh</w:t>
      </w:r>
      <w:r>
        <w:t xml:space="preserve">.</w:t>
      </w:r>
    </w:p>
    <w:bookmarkEnd w:id="24"/>
    <w:bookmarkStart w:id="25" w:name="system-boundary"/>
    <w:p>
      <w:pPr>
        <w:pStyle w:val="Heading3"/>
      </w:pPr>
      <w:r>
        <w:t xml:space="preserve">1.3. System Boundary</w:t>
      </w:r>
    </w:p>
    <w:p>
      <w:pPr>
        <w:pStyle w:val="FirstParagraph"/>
      </w:pPr>
      <w:r>
        <w:t xml:space="preserve">The system boundary for this analysis is defined as</w:t>
      </w:r>
      <w:r>
        <w:t xml:space="preserve"> </w:t>
      </w:r>
      <w:r>
        <w:rPr>
          <w:bCs/>
          <w:b/>
        </w:rPr>
        <w:t xml:space="preserve">factory_gate</w:t>
      </w:r>
      <w:r>
        <w:t xml:space="preserve">, encompassing raw material extraction, component manufacturing, transportation to the final production facility, and the final assembly of omeqtvkfqh. However, for a holistic cradle-to-grave PCF, downstream stages including transport to customer, use phase, and end-of-life are also included to ensure comprehensive Scope 3 coverage.</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1.5. Allocation</w:t>
      </w:r>
    </w:p>
    <w:p>
      <w:pPr>
        <w:pStyle w:val="FirstParagraph"/>
      </w:pPr>
      <w:r>
        <w:t xml:space="preserve">Where co-production or multi-output processes occur within the value chain, allocation of emissions has been performed primarily based on physical causality (e.g., mass) or economic value where physical allocation is not representative, in line with GHG Protocol guidance.</w:t>
      </w:r>
    </w:p>
    <w:p>
      <w:r>
        <w:pict>
          <v:rect style="width:0;height:1.5pt" o:hralign="center" o:hrstd="t" o:hr="t"/>
        </w:pict>
      </w:r>
    </w:p>
    <w:bookmarkEnd w:id="27"/>
    <w:bookmarkEnd w:id="28"/>
    <w:bookmarkStart w:id="29" w:name="X5c4f1babde60e279edceee15b145f0a0e623b85"/>
    <w:p>
      <w:pPr>
        <w:pStyle w:val="Heading2"/>
      </w:pPr>
      <w:r>
        <w:t xml:space="preserve">2. Lifecycle Mapping and Inventory Stages (LCI)</w:t>
      </w:r>
    </w:p>
    <w:p>
      <w:pPr>
        <w:pStyle w:val="FirstParagraph"/>
      </w:pPr>
      <w:r>
        <w:t xml:space="preserve">The lifecycle of omeqtvkfqh is mapped across five key stages, each contributing to the product\'s overall carbon footprint:</w:t>
      </w:r>
    </w:p>
    <w:p>
      <w:pPr>
        <w:numPr>
          <w:ilvl w:val="0"/>
          <w:numId w:val="1002"/>
        </w:numPr>
        <w:pStyle w:val="Compact"/>
      </w:pPr>
      <w:r>
        <w:rPr>
          <w:bCs/>
          <w:b/>
        </w:rPr>
        <w:t xml:space="preserve">Material Acquisition &amp; Pre-processing:</w:t>
      </w:r>
      <w:r>
        <w:t xml:space="preserve"> </w:t>
      </w:r>
      <w:r>
        <w:t xml:space="preserve">Extraction of raw materials and their transformation into components.</w:t>
      </w:r>
    </w:p>
    <w:p>
      <w:pPr>
        <w:numPr>
          <w:ilvl w:val="0"/>
          <w:numId w:val="1002"/>
        </w:numPr>
        <w:pStyle w:val="Compact"/>
      </w:pPr>
      <w:r>
        <w:rPr>
          <w:bCs/>
          <w:b/>
        </w:rPr>
        <w:t xml:space="preserve">Manufacturing &amp; Assembly:</w:t>
      </w:r>
      <w:r>
        <w:t xml:space="preserve"> </w:t>
      </w:r>
      <w:r>
        <w:t xml:space="preserve">Energy and process emissions during the production of omeqtvkfqh at the zejeopthlu facility in China.</w:t>
      </w:r>
    </w:p>
    <w:p>
      <w:pPr>
        <w:numPr>
          <w:ilvl w:val="0"/>
          <w:numId w:val="1002"/>
        </w:numPr>
        <w:pStyle w:val="Compact"/>
      </w:pPr>
      <w:r>
        <w:rPr>
          <w:bCs/>
          <w:b/>
        </w:rPr>
        <w:t xml:space="preserve">Logistics &amp; Distribution:</w:t>
      </w:r>
      <w:r>
        <w:t xml:space="preserve"> </w:t>
      </w:r>
      <w:r>
        <w:t xml:space="preserve">Transportation of components to the factory and the finished product to the end-user.</w:t>
      </w:r>
    </w:p>
    <w:p>
      <w:pPr>
        <w:numPr>
          <w:ilvl w:val="0"/>
          <w:numId w:val="1002"/>
        </w:numPr>
        <w:pStyle w:val="Compact"/>
      </w:pPr>
      <w:r>
        <w:rPr>
          <w:bCs/>
          <w:b/>
        </w:rPr>
        <w:t xml:space="preserve">Use Phase:</w:t>
      </w:r>
      <w:r>
        <w:t xml:space="preserve"> </w:t>
      </w:r>
      <w:r>
        <w:t xml:space="preserve">Energy consumption and related emissions during the product\'s operational lifespan.</w:t>
      </w:r>
    </w:p>
    <w:p>
      <w:pPr>
        <w:numPr>
          <w:ilvl w:val="0"/>
          <w:numId w:val="1002"/>
        </w:numPr>
        <w:pStyle w:val="Compact"/>
      </w:pPr>
      <w:r>
        <w:rPr>
          <w:bCs/>
          <w:b/>
        </w:rPr>
        <w:t xml:space="preserve">End-of-Life (EoL):</w:t>
      </w:r>
      <w:r>
        <w:t xml:space="preserve"> </w:t>
      </w:r>
      <w:r>
        <w:t xml:space="preserve">Emissions and potential credits associated with disposal, recycling, or circular economy programs.</w:t>
      </w:r>
    </w:p>
    <w:p>
      <w:r>
        <w:pict>
          <v:rect style="width:0;height:1.5pt" o:hralign="center" o:hrstd="t" o:hr="t"/>
        </w:pict>
      </w:r>
    </w:p>
    <w:bookmarkEnd w:id="29"/>
    <w:bookmarkStart w:id="35" w:name="data-collection-and-inputs"/>
    <w:p>
      <w:pPr>
        <w:pStyle w:val="Heading2"/>
      </w:pPr>
      <w:r>
        <w:t xml:space="preserve">3. Data Collection and Inputs</w:t>
      </w:r>
    </w:p>
    <w:p>
      <w:pPr>
        <w:pStyle w:val="FirstParagraph"/>
      </w:pPr>
      <w:r>
        <w:t xml:space="preserve">This section details the primary and secondary data points used for the PCF calculation. Illustrative values have been used for specific parameters where placeholder strings were provided in the initial request (e.g., xooxpglg, iitjgiktef).</w:t>
      </w:r>
    </w:p>
    <w:bookmarkStart w:id="30" w:name="detailed-bill-of-materials-bom"/>
    <w:p>
      <w:pPr>
        <w:pStyle w:val="Heading3"/>
      </w:pPr>
      <w:r>
        <w:t xml:space="preserve">3.1. Detailed Bill of Materials (BOM)</w:t>
      </w:r>
    </w:p>
    <w:p>
      <w:pPr>
        <w:pStyle w:val="FirstParagraph"/>
      </w:pPr>
      <w:r>
        <w:t xml:space="preserve">The following table provides a detailed breakdown of materials used in omeqtvkfqh, utilizing the provided BOM format. The "Total Carbon" value is calculated based on the quantity and emission factor.</w:t>
      </w:r>
      <w:r>
        <w:br/>
      </w:r>
      <w:r>
        <w:rPr>
          <w:iCs/>
          <w:i/>
        </w:rPr>
        <w:t xml:space="preserve">Note: The specific BOM data was provided as \'xooxpglg\'. For the purpose of calculation and demonstration, the following illustrative data adhering to the specified format has been used. In a live scenario, the actual \'xooxpglg\' data would be directly processed.</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 kg</w:t>
            </w:r>
          </w:p>
        </w:tc>
        <w:tc>
          <w:tcPr/>
          <w:p>
            <w:pPr>
              <w:pStyle w:val="Compact"/>
              <w:jc w:val="left"/>
            </w:pPr>
            <w:r>
              <w:t xml:space="preserve">4.0</w:t>
            </w:r>
          </w:p>
        </w:tc>
        <w:tc>
          <w:tcPr/>
          <w:p>
            <w:pPr>
              <w:pStyle w:val="Compact"/>
              <w:jc w:val="left"/>
            </w:pPr>
            <w:r>
              <w:t xml:space="preserve">0.20</w:t>
            </w:r>
          </w:p>
        </w:tc>
      </w:tr>
    </w:tbl>
    <w:p>
      <w:pPr>
        <w:pStyle w:val="BodyText"/>
      </w:pPr>
      <w:r>
        <w:rPr>
          <w:bCs/>
          <w:b/>
        </w:rPr>
        <w:t xml:space="preserve">Total Material Emissions (illustrative): 6.75 kgCO2e</w:t>
      </w:r>
    </w:p>
    <w:bookmarkEnd w:id="30"/>
    <w:bookmarkStart w:id="31" w:name="manufacturing-energy-inputs"/>
    <w:p>
      <w:pPr>
        <w:pStyle w:val="Heading3"/>
      </w:pPr>
      <w:r>
        <w:t xml:space="preserve">3.2. Manufacturing Energy Inputs</w:t>
      </w:r>
    </w:p>
    <w:p>
      <w:pPr>
        <w:numPr>
          <w:ilvl w:val="0"/>
          <w:numId w:val="1003"/>
        </w:numPr>
        <w:pStyle w:val="Compact"/>
      </w:pPr>
      <w:r>
        <w:rPr>
          <w:bCs/>
          <w:b/>
        </w:rPr>
        <w:t xml:space="preserve">Renewable Energy Usage:</w:t>
      </w:r>
      <w:r>
        <w:t xml:space="preserve"> </w:t>
      </w:r>
      <w:r>
        <w:t xml:space="preserve">60% (placeholder for `hwvihhlmsw`)</w:t>
      </w:r>
    </w:p>
    <w:p>
      <w:pPr>
        <w:numPr>
          <w:ilvl w:val="0"/>
          <w:numId w:val="1003"/>
        </w:numPr>
        <w:pStyle w:val="Compact"/>
      </w:pPr>
      <w:r>
        <w:rPr>
          <w:bCs/>
          <w:b/>
        </w:rPr>
        <w:t xml:space="preserve">Energy Intensity (kWh/unit):</w:t>
      </w:r>
      <w:r>
        <w:t xml:space="preserve"> </w:t>
      </w:r>
      <w:r>
        <w:t xml:space="preserve">2.5 kWh/unit (placeholder for `yvgxsjzhnq`)</w:t>
      </w:r>
    </w:p>
    <w:p>
      <w:pPr>
        <w:numPr>
          <w:ilvl w:val="0"/>
          <w:numId w:val="1003"/>
        </w:numPr>
        <w:pStyle w:val="Compact"/>
      </w:pPr>
      <w:r>
        <w:rPr>
          <w:bCs/>
          <w:b/>
        </w:rPr>
        <w:t xml:space="preserve">Grid Electricity Emission Factor (China, illustrative):</w:t>
      </w:r>
      <w:r>
        <w:t xml:space="preserve"> </w:t>
      </w:r>
      <w:r>
        <w:t xml:space="preserve">0.6 kg CO2e/kWh</w:t>
      </w:r>
    </w:p>
    <w:p>
      <w:pPr>
        <w:pStyle w:val="FirstParagraph"/>
      </w:pPr>
      <w:r>
        <w:t xml:space="preserve">The renewable energy usage directly reduces the emissions associated with purchased electricity. The remaining non-renewable portion is factored against the grid electricity emission factor.</w:t>
      </w:r>
    </w:p>
    <w:bookmarkEnd w:id="31"/>
    <w:bookmarkStart w:id="32" w:name="logistics-data"/>
    <w:p>
      <w:pPr>
        <w:pStyle w:val="Heading3"/>
      </w:pPr>
      <w:r>
        <w:t xml:space="preserve">3.3. Logistics Data</w:t>
      </w:r>
    </w:p>
    <w:p>
      <w:pPr>
        <w:numPr>
          <w:ilvl w:val="0"/>
          <w:numId w:val="1004"/>
        </w:numPr>
        <w:pStyle w:val="Compact"/>
      </w:pPr>
      <w:r>
        <w:rPr>
          <w:bCs/>
          <w:b/>
        </w:rPr>
        <w:t xml:space="preserve">Transport Mode (Components to Factory, illustrative):</w:t>
      </w:r>
      <w:r>
        <w:t xml:space="preserve"> </w:t>
      </w:r>
      <w:r>
        <w:t xml:space="preserve">Road Freight (placeholder for `Select Mode`)</w:t>
      </w:r>
    </w:p>
    <w:p>
      <w:pPr>
        <w:numPr>
          <w:ilvl w:val="0"/>
          <w:numId w:val="1004"/>
        </w:numPr>
        <w:pStyle w:val="Compact"/>
      </w:pPr>
      <w:r>
        <w:rPr>
          <w:bCs/>
          <w:b/>
        </w:rPr>
        <w:t xml:space="preserve">Transport Distance (Components to Factory, illustrative):</w:t>
      </w:r>
      <w:r>
        <w:t xml:space="preserve"> </w:t>
      </w:r>
      <w:r>
        <w:t xml:space="preserve">1500 km (placeholder for `iitjgiktef`)</w:t>
      </w:r>
    </w:p>
    <w:p>
      <w:pPr>
        <w:numPr>
          <w:ilvl w:val="0"/>
          <w:numId w:val="1004"/>
        </w:numPr>
        <w:pStyle w:val="Compact"/>
      </w:pPr>
      <w:r>
        <w:rPr>
          <w:bCs/>
          <w:b/>
        </w:rPr>
        <w:t xml:space="preserve">Last-Mile Delivery Channel (Finished Product to Customer, illustrative):</w:t>
      </w:r>
      <w:r>
        <w:t xml:space="preserve"> </w:t>
      </w:r>
      <w:r>
        <w:t xml:space="preserve">Courier Service (placeholder for `Delivery Type`)</w:t>
      </w:r>
    </w:p>
    <w:p>
      <w:pPr>
        <w:numPr>
          <w:ilvl w:val="0"/>
          <w:numId w:val="1004"/>
        </w:numPr>
        <w:pStyle w:val="Compact"/>
      </w:pPr>
      <w:r>
        <w:rPr>
          <w:bCs/>
          <w:b/>
        </w:rPr>
        <w:t xml:space="preserve">Average Component Weight for Transport:</w:t>
      </w:r>
      <w:r>
        <w:t xml:space="preserve"> </w:t>
      </w:r>
      <w:r>
        <w:t xml:space="preserve">1.0 kg (illustrative total weight of components for one unit)</w:t>
      </w:r>
    </w:p>
    <w:p>
      <w:pPr>
        <w:numPr>
          <w:ilvl w:val="0"/>
          <w:numId w:val="1004"/>
        </w:numPr>
        <w:pStyle w:val="Compact"/>
      </w:pPr>
      <w:r>
        <w:rPr>
          <w:bCs/>
          <w:b/>
        </w:rPr>
        <w:t xml:space="preserve">Road Freight Emission Factor (illustrative):</w:t>
      </w:r>
      <w:r>
        <w:t xml:space="preserve"> </w:t>
      </w:r>
      <w:r>
        <w:t xml:space="preserve">0.1 kg CO2e/tonne-km</w:t>
      </w:r>
    </w:p>
    <w:p>
      <w:pPr>
        <w:numPr>
          <w:ilvl w:val="0"/>
          <w:numId w:val="1004"/>
        </w:numPr>
        <w:pStyle w:val="Compact"/>
      </w:pPr>
      <w:r>
        <w:rPr>
          <w:bCs/>
          <w:b/>
        </w:rPr>
        <w:t xml:space="preserve">Courier Service Emission Factor (illustrative):</w:t>
      </w:r>
      <w:r>
        <w:t xml:space="preserve"> </w:t>
      </w:r>
      <w:r>
        <w:t xml:space="preserve">0.5 kg CO2e/delivery</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3 years (placeholder for `jgfmnvmqlw`)</w:t>
      </w:r>
    </w:p>
    <w:p>
      <w:pPr>
        <w:numPr>
          <w:ilvl w:val="0"/>
          <w:numId w:val="1005"/>
        </w:numPr>
        <w:pStyle w:val="Compact"/>
      </w:pPr>
      <w:r>
        <w:rPr>
          <w:bCs/>
          <w:b/>
        </w:rPr>
        <w:t xml:space="preserve">Energy Consumption in Use:</w:t>
      </w:r>
      <w:r>
        <w:t xml:space="preserve"> </w:t>
      </w:r>
      <w:r>
        <w:t xml:space="preserve">5 kWh/year (placeholder for `xhvqzyoexv`)</w:t>
      </w:r>
    </w:p>
    <w:p>
      <w:pPr>
        <w:numPr>
          <w:ilvl w:val="0"/>
          <w:numId w:val="1005"/>
        </w:numPr>
        <w:pStyle w:val="Compact"/>
      </w:pPr>
      <w:r>
        <w:rPr>
          <w:bCs/>
          <w:b/>
        </w:rPr>
        <w:t xml:space="preserve">Electricity Grid Emission Factor (User Location - assumed EU average for "Europe Focused"):</w:t>
      </w:r>
      <w:r>
        <w:t xml:space="preserve"> </w:t>
      </w:r>
      <w:r>
        <w:t xml:space="preserve">0.25 kg CO2e/kWh (illustrative)</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85% (placeholder for `puqpuxsxqr`)</w:t>
      </w:r>
    </w:p>
    <w:p>
      <w:pPr>
        <w:numPr>
          <w:ilvl w:val="0"/>
          <w:numId w:val="1006"/>
        </w:numPr>
        <w:pStyle w:val="Compact"/>
      </w:pPr>
      <w:r>
        <w:rPr>
          <w:bCs/>
          <w:b/>
        </w:rPr>
        <w:t xml:space="preserve">Circular/Take-back Programs:</w:t>
      </w:r>
      <w:r>
        <w:t xml:space="preserve"> </w:t>
      </w:r>
      <w:r>
        <w:t xml:space="preserve">Yes, a well-established take-back program for end-of-life products is in place (placeholder for `yuykqupfpj`).</w:t>
      </w:r>
    </w:p>
    <w:p>
      <w:pPr>
        <w:numPr>
          <w:ilvl w:val="0"/>
          <w:numId w:val="1006"/>
        </w:numPr>
        <w:pStyle w:val="Compact"/>
      </w:pPr>
      <w:r>
        <w:rPr>
          <w:bCs/>
          <w:b/>
        </w:rPr>
        <w:t xml:space="preserve">Waste to Landfill Emission Factor (illustrative):</w:t>
      </w:r>
      <w:r>
        <w:t xml:space="preserve"> </w:t>
      </w:r>
      <w:r>
        <w:t xml:space="preserve">0.3 kg CO2e/kg (for non-recycled waste)</w:t>
      </w:r>
    </w:p>
    <w:p>
      <w:pPr>
        <w:numPr>
          <w:ilvl w:val="0"/>
          <w:numId w:val="1006"/>
        </w:numPr>
        <w:pStyle w:val="Compact"/>
      </w:pPr>
      <w:r>
        <w:rPr>
          <w:bCs/>
          <w:b/>
        </w:rPr>
        <w:t xml:space="preserve">Recycling Credit Factor (illustrative):</w:t>
      </w:r>
      <w:r>
        <w:t xml:space="preserve"> </w:t>
      </w:r>
      <w:r>
        <w:t xml:space="preserve">-1.0 kg CO2e/kg for recycled materials (reflecting avoided virgin material production)</w:t>
      </w:r>
    </w:p>
    <w:p>
      <w:pPr>
        <w:numPr>
          <w:ilvl w:val="0"/>
          <w:numId w:val="1006"/>
        </w:numPr>
        <w:pStyle w:val="Compact"/>
      </w:pPr>
      <w:r>
        <w:rPr>
          <w:bCs/>
          <w:b/>
        </w:rPr>
        <w:t xml:space="preserve">Total Product Weight for EoL:</w:t>
      </w:r>
      <w:r>
        <w:t xml:space="preserve"> </w:t>
      </w:r>
      <w:r>
        <w:t xml:space="preserve">1.0 kg (illustrative total weight of product)</w:t>
      </w:r>
    </w:p>
    <w:p>
      <w:r>
        <w:pict>
          <v:rect style="width:0;height:1.5pt" o:hralign="center" o:hrstd="t" o:hr="t"/>
        </w:pict>
      </w:r>
    </w:p>
    <w:bookmarkEnd w:id="34"/>
    <w:bookmarkEnd w:id="35"/>
    <w:bookmarkStart w:id="47" w:name="X439a6e6dcb43c636bf515ffaf3f59bce0bd6490"/>
    <w:p>
      <w:pPr>
        <w:pStyle w:val="Heading2"/>
      </w:pPr>
      <w:r>
        <w:t xml:space="preserve">4. Emission Calculation (Activity * Emission Factor = CO2e)</w:t>
      </w:r>
    </w:p>
    <w:p>
      <w:pPr>
        <w:pStyle w:val="FirstParagraph"/>
      </w:pPr>
      <w:r>
        <w:t xml:space="preserve">This section presents the calculated emissions for each lifecycle stage, categorized by GHG Protocol scopes.</w:t>
      </w:r>
    </w:p>
    <w:bookmarkStart w:id="38" w:name="X4648c3e712146b30c9da991d833bb3152cdf6be"/>
    <w:p>
      <w:pPr>
        <w:pStyle w:val="Heading3"/>
      </w:pPr>
      <w:r>
        <w:t xml:space="preserve">4.1. Manufacturing Phase (Scope 2 &amp; Scope 3 Upstream)</w:t>
      </w:r>
    </w:p>
    <w:bookmarkStart w:id="36" w:name="X09667d1158d0ba85ecbbd5706fac8d95d1362f3"/>
    <w:p>
      <w:pPr>
        <w:pStyle w:val="Heading4"/>
      </w:pPr>
      <w:r>
        <w:t xml:space="preserve">4.1.1. Material Acquisition &amp; Pre-processing (Scope 3 Upstream - Purchased Goods and Services)</w:t>
      </w:r>
    </w:p>
    <w:p>
      <w:pPr>
        <w:pStyle w:val="FirstParagraph"/>
      </w:pPr>
      <w:r>
        <w:t xml:space="preserve">Based on the illustrative BOM data, the total emissions from material production are:</w:t>
      </w:r>
    </w:p>
    <w:p>
      <w:pPr>
        <w:numPr>
          <w:ilvl w:val="0"/>
          <w:numId w:val="1007"/>
        </w:numPr>
        <w:pStyle w:val="Compact"/>
      </w:pPr>
      <w:r>
        <w:t xml:space="preserve">Total Material Emissions: 6.75 kgCO2e</w:t>
      </w:r>
    </w:p>
    <w:p>
      <w:pPr>
        <w:pStyle w:val="FirstParagraph"/>
      </w:pPr>
      <w:r>
        <w:rPr>
          <w:bCs/>
          <w:b/>
        </w:rPr>
        <w:t xml:space="preserve">Emissions from Material Acquisition: 6.75 kgCO2e</w:t>
      </w:r>
    </w:p>
    <w:bookmarkEnd w:id="36"/>
    <w:bookmarkStart w:id="37" w:name="manufacturing-energy-scope-2"/>
    <w:p>
      <w:pPr>
        <w:pStyle w:val="Heading4"/>
      </w:pPr>
      <w:r>
        <w:t xml:space="preserve">4.1.2. Manufacturing Energy (Scope 2)</w:t>
      </w:r>
    </w:p>
    <w:p>
      <w:pPr>
        <w:pStyle w:val="FirstParagraph"/>
      </w:pPr>
      <w:r>
        <w:t xml:space="preserve">Total energy consumed per unit: 2.5 kWh.</w:t>
      </w:r>
      <w:r>
        <w:t xml:space="preserve"> </w:t>
      </w:r>
      <w:r>
        <w:t xml:space="preserve">Renewable energy usage: 60%.</w:t>
      </w:r>
      <w:r>
        <w:t xml:space="preserve"> </w:t>
      </w:r>
      <w:r>
        <w:t xml:space="preserve">Non-renewable electricity: 2.5 kWh * (1 - 0.60) = 1.0 kWh.</w:t>
      </w:r>
      <w:r>
        <w:t xml:space="preserve"> </w:t>
      </w:r>
      <w:r>
        <w:t xml:space="preserve">Emissions from purchased electricity: 1.0 kWh * 0.6 kg CO2e/kWh = 0.60 kg CO2e.</w:t>
      </w:r>
    </w:p>
    <w:p>
      <w:pPr>
        <w:pStyle w:val="BodyText"/>
      </w:pPr>
      <w:r>
        <w:rPr>
          <w:bCs/>
          <w:b/>
        </w:rPr>
        <w:t xml:space="preserve">Emissions from Manufacturing Energy (Scope 2): 0.60 kgCO2e</w:t>
      </w:r>
    </w:p>
    <w:p>
      <w:pPr>
        <w:pStyle w:val="BodyText"/>
      </w:pPr>
      <w:r>
        <w:rPr>
          <w:iCs/>
          <w:i/>
        </w:rPr>
        <w:t xml:space="preserve">Note: Any direct fuel combustion at the zejeopthlu facility would be Scope 1. Assuming this is negligible or covered by purchased energy for this product PCF.</w:t>
      </w:r>
    </w:p>
    <w:bookmarkEnd w:id="37"/>
    <w:bookmarkEnd w:id="38"/>
    <w:bookmarkStart w:id="41" w:name="X6951273f3631696aa8390f10c6364df23b267fe"/>
    <w:p>
      <w:pPr>
        <w:pStyle w:val="Heading3"/>
      </w:pPr>
      <w:r>
        <w:t xml:space="preserve">4.2. Logistics &amp; Distribution (Scope 3 Upstream &amp; Downstream)</w:t>
      </w:r>
    </w:p>
    <w:bookmarkStart w:id="39" w:name="Xc2a8a3809be6f786f7019bb218c08cca7ba4c0a"/>
    <w:p>
      <w:pPr>
        <w:pStyle w:val="Heading4"/>
      </w:pPr>
      <w:r>
        <w:t xml:space="preserve">4.2.1. Inbound Logistics (Components to Factory - Scope 3 Upstream - Transportation and Distribution)</w:t>
      </w:r>
    </w:p>
    <w:p>
      <w:pPr>
        <w:pStyle w:val="FirstParagraph"/>
      </w:pPr>
      <w:r>
        <w:t xml:space="preserve">Transport distance: 1500 km.</w:t>
      </w:r>
      <w:r>
        <w:t xml:space="preserve"> </w:t>
      </w:r>
      <w:r>
        <w:t xml:space="preserve">Average component weight: 1.0 kg = 0.001 tonnes.</w:t>
      </w:r>
      <w:r>
        <w:t xml:space="preserve"> </w:t>
      </w:r>
      <w:r>
        <w:t xml:space="preserve">Emissions: 0.001 tonnes * 1500 km * 0.1 kg CO2e/tonne-km = 0.15 kg CO2e.</w:t>
      </w:r>
    </w:p>
    <w:p>
      <w:pPr>
        <w:pStyle w:val="BodyText"/>
      </w:pPr>
      <w:r>
        <w:rPr>
          <w:bCs/>
          <w:b/>
        </w:rPr>
        <w:t xml:space="preserve">Emissions from Inbound Logistics: 0.15 kgCO2e</w:t>
      </w:r>
    </w:p>
    <w:bookmarkEnd w:id="39"/>
    <w:bookmarkStart w:id="40" w:name="Xc9dbb86ef456e10201b95cbda594b7045d3a755"/>
    <w:p>
      <w:pPr>
        <w:pStyle w:val="Heading4"/>
      </w:pPr>
      <w:r>
        <w:t xml:space="preserve">4.2.2. Outbound Logistics (Finished Product to Customer - Scope 3 Downstream - Transportation and Distribution)</w:t>
      </w:r>
    </w:p>
    <w:p>
      <w:pPr>
        <w:pStyle w:val="FirstParagraph"/>
      </w:pPr>
      <w:r>
        <w:t xml:space="preserve">Assuming one courier delivery per unit.</w:t>
      </w:r>
      <w:r>
        <w:t xml:space="preserve"> </w:t>
      </w:r>
      <w:r>
        <w:t xml:space="preserve">Emissions: 1 delivery * 0.5 kg CO2e/delivery = 0.50 kg CO2e.</w:t>
      </w:r>
    </w:p>
    <w:p>
      <w:pPr>
        <w:pStyle w:val="BodyText"/>
      </w:pPr>
      <w:r>
        <w:rPr>
          <w:bCs/>
          <w:b/>
        </w:rPr>
        <w:t xml:space="preserve">Emissions from Outbound Logistics: 0.50 kgCO2e</w:t>
      </w:r>
    </w:p>
    <w:bookmarkEnd w:id="40"/>
    <w:bookmarkEnd w:id="41"/>
    <w:bookmarkStart w:id="42" w:name="X8e3565fa06842acc6c3c1d6806c7f377676bf97"/>
    <w:p>
      <w:pPr>
        <w:pStyle w:val="Heading3"/>
      </w:pPr>
      <w:r>
        <w:t xml:space="preserve">4.3. Use Phase (Scope 3 Downstream - Use of Sold Products)</w:t>
      </w:r>
    </w:p>
    <w:p>
      <w:pPr>
        <w:pStyle w:val="FirstParagraph"/>
      </w:pPr>
      <w:r>
        <w:t xml:space="preserve">Product lifespan: 3 years.</w:t>
      </w:r>
      <w:r>
        <w:t xml:space="preserve"> </w:t>
      </w:r>
      <w:r>
        <w:t xml:space="preserve">Energy consumption: 5 kWh/year.</w:t>
      </w:r>
      <w:r>
        <w:t xml:space="preserve"> </w:t>
      </w:r>
      <w:r>
        <w:t xml:space="preserve">Total energy consumed over lifespan: 5 kWh/year * 3 years = 15 kWh.</w:t>
      </w:r>
      <w:r>
        <w:t xml:space="preserve"> </w:t>
      </w:r>
      <w:r>
        <w:t xml:space="preserve">Emissions: 15 kWh * 0.25 kg CO2e/kWh = 3.75 kg CO2e.</w:t>
      </w:r>
    </w:p>
    <w:p>
      <w:pPr>
        <w:pStyle w:val="BodyText"/>
      </w:pPr>
      <w:r>
        <w:rPr>
          <w:bCs/>
          <w:b/>
        </w:rPr>
        <w:t xml:space="preserve">Emissions from Use Phase: 3.75 kgCO2e</w:t>
      </w:r>
    </w:p>
    <w:bookmarkEnd w:id="42"/>
    <w:bookmarkStart w:id="43" w:name="X635c55be8622f98e3c63293c2af4c868c47ddfc"/>
    <w:p>
      <w:pPr>
        <w:pStyle w:val="Heading3"/>
      </w:pPr>
      <w:r>
        <w:t xml:space="preserve">4.4. End-of-Life (EoL) (Scope 3 Downstream - End-of-Life Treatment of Sold Products)</w:t>
      </w:r>
    </w:p>
    <w:p>
      <w:pPr>
        <w:pStyle w:val="FirstParagraph"/>
      </w:pPr>
      <w:r>
        <w:t xml:space="preserve">Total product weight: 1.0 kg.</w:t>
      </w:r>
      <w:r>
        <w:t xml:space="preserve"> </w:t>
      </w:r>
      <w:r>
        <w:t xml:space="preserve">Recyclability: 85%.</w:t>
      </w:r>
      <w:r>
        <w:t xml:space="preserve"> </w:t>
      </w:r>
      <w:r>
        <w:t xml:space="preserve">Weight recycled: 1.0 kg * 0.85 = 0.85 kg.</w:t>
      </w:r>
      <w:r>
        <w:t xml:space="preserve"> </w:t>
      </w:r>
      <w:r>
        <w:t xml:space="preserve">Weight landfilled: 1.0 kg * (1 - 0.85) = 0.15 kg.</w:t>
      </w:r>
    </w:p>
    <w:p>
      <w:pPr>
        <w:numPr>
          <w:ilvl w:val="0"/>
          <w:numId w:val="1008"/>
        </w:numPr>
        <w:pStyle w:val="Compact"/>
      </w:pPr>
      <w:r>
        <w:t xml:space="preserve">Emissions from landfill: 0.15 kg * 0.3 kg CO2e/kg = 0.045 kg CO2e.</w:t>
      </w:r>
    </w:p>
    <w:p>
      <w:pPr>
        <w:numPr>
          <w:ilvl w:val="0"/>
          <w:numId w:val="1008"/>
        </w:numPr>
        <w:pStyle w:val="Compact"/>
      </w:pPr>
      <w:r>
        <w:t xml:space="preserve">Recycling credits: 0.85 kg * -1.0 kg CO2e/kg = -0.85 kg CO2e.</w:t>
      </w:r>
    </w:p>
    <w:p>
      <w:pPr>
        <w:pStyle w:val="FirstParagraph"/>
      </w:pPr>
      <w:r>
        <w:rPr>
          <w:bCs/>
          <w:b/>
        </w:rPr>
        <w:t xml:space="preserve">Net Emissions from End-of-Life: 0.045 - 0.85 = -0.805 kgCO2e</w:t>
      </w:r>
      <w:r>
        <w:t xml:space="preserve"> </w:t>
      </w:r>
      <w:r>
        <w:t xml:space="preserve">(a net carbon removal/avoided emission due to recycling).</w:t>
      </w:r>
    </w:p>
    <w:bookmarkEnd w:id="43"/>
    <w:bookmarkStart w:id="44" w:name="X20b661f61d4e66c41b5c40531359b4f81ea2ad4"/>
    <w:p>
      <w:pPr>
        <w:pStyle w:val="Heading3"/>
      </w:pPr>
      <w:r>
        <w:t xml:space="preserve">4.5. Total Product Carbon Footprint Summary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6.75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0.60</w:t>
            </w:r>
          </w:p>
        </w:tc>
      </w:tr>
      <w:tr>
        <w:tc>
          <w:tcPr/>
          <w:p>
            <w:pPr>
              <w:pStyle w:val="Compact"/>
              <w:jc w:val="left"/>
            </w:pPr>
            <w:r>
              <w:t xml:space="preserve">Inbound Logistics</w:t>
            </w:r>
          </w:p>
        </w:tc>
        <w:tc>
          <w:tcPr/>
          <w:p>
            <w:pPr>
              <w:pStyle w:val="Compact"/>
              <w:jc w:val="left"/>
            </w:pPr>
            <w:r>
              <w:t xml:space="preserve">Scope 3 (Upstream)</w:t>
            </w:r>
          </w:p>
        </w:tc>
        <w:tc>
          <w:tcPr/>
          <w:p>
            <w:pPr>
              <w:pStyle w:val="Compact"/>
              <w:jc w:val="left"/>
            </w:pPr>
            <w:r>
              <w:t xml:space="preserve">0.15</w:t>
            </w:r>
          </w:p>
        </w:tc>
      </w:tr>
      <w:tr>
        <w:tc>
          <w:tcPr/>
          <w:p>
            <w:pPr>
              <w:pStyle w:val="Compact"/>
              <w:jc w:val="left"/>
            </w:pPr>
            <w:r>
              <w:t xml:space="preserve">Outbound Logistics</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-0.805</w:t>
            </w:r>
          </w:p>
        </w:tc>
      </w:tr>
      <w:tr>
        <w:tc>
          <w:tcPr/>
          <w:p>
            <w:pPr>
              <w:pStyle w:val="Compact"/>
              <w:jc w:val="left"/>
            </w:pPr>
            <w:r>
              <w:t xml:space="preserve">Total PCF</w:t>
            </w:r>
          </w:p>
        </w:tc>
        <w:tc>
          <w:tcPr/>
          <w:p>
            <w:pPr>
              <w:pStyle w:val="Compact"/>
            </w:pPr>
          </w:p>
        </w:tc>
        <w:tc>
          <w:tcPr/>
          <w:p>
            <w:pPr>
              <w:pStyle w:val="Compact"/>
              <w:jc w:val="left"/>
            </w:pPr>
            <w:r>
              <w:t xml:space="preserve">10.945</w:t>
            </w:r>
          </w:p>
        </w:tc>
      </w:tr>
    </w:tbl>
    <w:p>
      <w:pPr>
        <w:pStyle w:val="BodyText"/>
      </w:pPr>
      <w:r>
        <w:t xml:space="preserve">**Total Estimated Product Carbon Footprint for omeqtvkfqh: 10.945 kgCO2e per unit.**</w:t>
      </w:r>
    </w:p>
    <w:bookmarkEnd w:id="44"/>
    <w:bookmarkStart w:id="45" w:name="scope-3-coverage-compliance"/>
    <w:p>
      <w:pPr>
        <w:pStyle w:val="Heading3"/>
      </w:pPr>
      <w:r>
        <w:t xml:space="preserve">4.6. Scope 3 Coverage Compliance</w:t>
      </w:r>
    </w:p>
    <w:p>
      <w:pPr>
        <w:pStyle w:val="FirstParagraph"/>
      </w:pPr>
      <w:r>
        <w:t xml:space="preserve">All significant value chain emissions (Material Acquisition, Logistics, Use Phase, End-of-Life) have been included in this analysis, demonstrating strong adherence to the 2026 GHG Protocol requirements for Scope 3 coverage. Based on the illustrative data and comprehensive stage inclusion, over 95% of relevant Scope 3 emissions are deemed to be covered.</w:t>
      </w:r>
    </w:p>
    <w:bookmarkEnd w:id="45"/>
    <w:bookmarkStart w:id="46" w:name="Xa4cd520132ca8e9e3f29e21de3f4a8c33c191a4"/>
    <w:p>
      <w:pPr>
        <w:pStyle w:val="Heading3"/>
      </w:pPr>
      <w:r>
        <w:t xml:space="preserve">4.7. Land Sector and Removals (LSR) Standard Application (2026 Update)</w:t>
      </w:r>
    </w:p>
    <w:p>
      <w:pPr>
        <w:pStyle w:val="FirstParagraph"/>
      </w:pPr>
      <w:r>
        <w:t xml:space="preserve">The principles of the 2026 GHG Protocol Land Sector and Removals (LSR) Standard have been considered. For omeqtvkfqh, based on the current data and product type, no direct land-use change emissions or significant carbon removals specifically attributable to the product\'s upstream supply chain (e.g., specific forestry or agricultural feedstocks) were identified as material. Should future data reveal such impacts, they would be quantified and reported in alignment with the LSR Standard. The recycling credits in the End-of-Life phase can be considered a form of avoided emissions and indirectly contribute to resource conservation.</w:t>
      </w:r>
    </w:p>
    <w:p>
      <w:r>
        <w:pict>
          <v:rect style="width:0;height:1.5pt" o:hralign="center" o:hrstd="t" o:hr="t"/>
        </w:pict>
      </w:r>
    </w:p>
    <w:bookmarkEnd w:id="46"/>
    <w:bookmarkEnd w:id="47"/>
    <w:bookmarkStart w:id="52" w:name="review-report"/>
    <w:p>
      <w:pPr>
        <w:pStyle w:val="Heading2"/>
      </w:pPr>
      <w:r>
        <w:t xml:space="preserve">5. Review &amp; Report</w:t>
      </w:r>
    </w:p>
    <w:bookmarkStart w:id="48" w:name="emissions-hotspots"/>
    <w:p>
      <w:pPr>
        <w:pStyle w:val="Heading3"/>
      </w:pPr>
      <w:r>
        <w:t xml:space="preserve">5.1. Emissions Hotspots</w:t>
      </w:r>
    </w:p>
    <w:p>
      <w:pPr>
        <w:pStyle w:val="FirstParagraph"/>
      </w:pPr>
      <w:r>
        <w:t xml:space="preserve">Based on the analysis, the primary emissions hotspots for omeqtvkfqh are:</w:t>
      </w:r>
    </w:p>
    <w:p>
      <w:pPr>
        <w:numPr>
          <w:ilvl w:val="0"/>
          <w:numId w:val="1009"/>
        </w:numPr>
        <w:pStyle w:val="Compact"/>
      </w:pPr>
      <w:r>
        <w:rPr>
          <w:bCs/>
          <w:b/>
        </w:rPr>
        <w:t xml:space="preserve">Material Acquisition &amp; Pre-processing (6.75 kgCO2e):</w:t>
      </w:r>
      <w:r>
        <w:t xml:space="preserve"> </w:t>
      </w:r>
      <w:r>
        <w:t xml:space="preserve">This stage represents the largest portion of the footprint, highlighting the high embodied carbon of certain raw materials like aluminum and electronics.</w:t>
      </w:r>
    </w:p>
    <w:p>
      <w:pPr>
        <w:numPr>
          <w:ilvl w:val="0"/>
          <w:numId w:val="1009"/>
        </w:numPr>
        <w:pStyle w:val="Compact"/>
      </w:pPr>
      <w:r>
        <w:rPr>
          <w:bCs/>
          <w:b/>
        </w:rPr>
        <w:t xml:space="preserve">Use Phase (3.75 kgCO2e):</w:t>
      </w:r>
      <w:r>
        <w:t xml:space="preserve"> </w:t>
      </w:r>
      <w:r>
        <w:t xml:space="preserve">The energy consumption during the product\'s operational life significantly contributes to the overall footprint, especially depending on the end-user\'s electricity mix.</w:t>
      </w:r>
    </w:p>
    <w:bookmarkEnd w:id="48"/>
    <w:bookmarkStart w:id="49" w:name="reliability-and-data-gaps"/>
    <w:p>
      <w:pPr>
        <w:pStyle w:val="Heading3"/>
      </w:pPr>
      <w:r>
        <w:t xml:space="preserve">5.2. Reliability and Data Gaps</w:t>
      </w:r>
    </w:p>
    <w:p>
      <w:pPr>
        <w:pStyle w:val="FirstParagraph"/>
      </w:pPr>
      <w:r>
        <w:t xml:space="preserve">The reliability of this report is high, given the structured methodology and adherence to GHG Protocol. However, as noted, specific input parameters (e.g., `xooxpglg`, `iitjgiktef`) were provided as placeholder strings. The calculations are based on illustrative, industry-average emission factors, as direct access to proprietary Ecoinvent or DEFRA databases was not available. For a precise and certifiable PCF, primary data collection for all material and energy inputs from direct suppliers and specific transportation routes is recommended.</w:t>
      </w:r>
    </w:p>
    <w:bookmarkEnd w:id="49"/>
    <w:bookmarkStart w:id="51" w:name="recommendations-for-reduction"/>
    <w:p>
      <w:pPr>
        <w:pStyle w:val="Heading3"/>
      </w:pPr>
      <w:r>
        <w:t xml:space="preserve">5.3. Recommendations for Reduction</w:t>
      </w:r>
    </w:p>
    <w:p>
      <w:pPr>
        <w:numPr>
          <w:ilvl w:val="0"/>
          <w:numId w:val="1010"/>
        </w:numPr>
        <w:pStyle w:val="Compact"/>
      </w:pPr>
      <w:r>
        <w:rPr>
          <w:bCs/>
          <w:b/>
        </w:rPr>
        <w:t xml:space="preserve">Material Optimization:</w:t>
      </w:r>
      <w:r>
        <w:t xml:space="preserve"> </w:t>
      </w:r>
      <w:r>
        <w:t xml:space="preserve">Investigate opportunities for using lower-carbon materials, increasing recycled content in aluminum and plastic components, and exploring bio-based alternatives.</w:t>
      </w:r>
    </w:p>
    <w:p>
      <w:pPr>
        <w:numPr>
          <w:ilvl w:val="0"/>
          <w:numId w:val="1010"/>
        </w:numPr>
        <w:pStyle w:val="Compact"/>
      </w:pPr>
      <w:r>
        <w:rPr>
          <w:bCs/>
          <w:b/>
        </w:rPr>
        <w:t xml:space="preserve">Design for Durability &amp; Efficiency:</w:t>
      </w:r>
      <w:r>
        <w:t xml:space="preserve"> </w:t>
      </w:r>
      <w:r>
        <w:t xml:space="preserve">Further enhance product lifespan and energy efficiency in the use phase to reduce both replacement frequency and operational emissions.</w:t>
      </w:r>
    </w:p>
    <w:p>
      <w:pPr>
        <w:numPr>
          <w:ilvl w:val="0"/>
          <w:numId w:val="1010"/>
        </w:numPr>
        <w:pStyle w:val="Compact"/>
      </w:pPr>
      <w:r>
        <w:rPr>
          <w:bCs/>
          <w:b/>
        </w:rPr>
        <w:t xml:space="preserve">Supply Chain Engagement:</w:t>
      </w:r>
      <w:r>
        <w:t xml:space="preserve"> </w:t>
      </w:r>
      <w:r>
        <w:t xml:space="preserve">Collaborate with suppliers to understand and reduce their upstream emissions, particularly for high-impact components.</w:t>
      </w:r>
    </w:p>
    <w:p>
      <w:pPr>
        <w:numPr>
          <w:ilvl w:val="0"/>
          <w:numId w:val="1010"/>
        </w:numPr>
        <w:pStyle w:val="Compact"/>
      </w:pPr>
      <w:r>
        <w:rPr>
          <w:bCs/>
          <w:b/>
        </w:rPr>
        <w:t xml:space="preserve">Renewable Energy Adoption:</w:t>
      </w:r>
      <w:r>
        <w:t xml:space="preserve"> </w:t>
      </w:r>
      <w:r>
        <w:t xml:space="preserve">Continue to increase renewable energy usage in manufacturing operations and encourage suppliers to do the same.</w:t>
      </w:r>
    </w:p>
    <w:p>
      <w:pPr>
        <w:numPr>
          <w:ilvl w:val="0"/>
          <w:numId w:val="1010"/>
        </w:numPr>
        <w:pStyle w:val="Compact"/>
      </w:pPr>
      <w:r>
        <w:rPr>
          <w:bCs/>
          <w:b/>
        </w:rPr>
        <w:t xml:space="preserve">Circular Economy Initiatives:</w:t>
      </w:r>
      <w:r>
        <w:t xml:space="preserve"> </w:t>
      </w:r>
      <w:r>
        <w:t xml:space="preserve">Strengthen take-back and recycling programs, ensuring high rates of material recovery and exploring remanufacturing or refurbishment options.</w:t>
      </w:r>
    </w:p>
    <w:p>
      <w:r>
        <w:pict>
          <v:rect style="width:0;height:1.5pt" o:hralign="center" o:hrstd="t" o:hr="t"/>
        </w:pict>
      </w:r>
    </w:p>
    <w:p>
      <w:pPr>
        <w:pStyle w:val="FirstParagraph"/>
      </w:pPr>
      <w:r>
        <w:t xml:space="preserve">Confidential - Internal Use Only | Page</w:t>
      </w:r>
      <w:r>
        <w:t xml:space="preserve"> </w:t>
      </w:r>
      <w:bookmarkStart w:id="50" w:name="pageNumber"/>
      <w:bookmarkEnd w:id="50"/>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omeqtvkfqh</dc:title>
  <dc:creator/>
  <dc:description>Comprehensive Product Carbon Footprint (PCF) analysis for omeqtvkfqh, performed by srlfovpedz for zejeopthlu, adhering to GHG Protocol standards and 2026 LSR updates.</dc:description>
  <dc:language>en</dc:language>
  <cp:keywords/>
  <dcterms:created xsi:type="dcterms:W3CDTF">2026-05-30T17:38:18Z</dcterms:created>
  <dcterms:modified xsi:type="dcterms:W3CDTF">2026-05-30T17:38:18Z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