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oluixwzziw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oluixwzziw</w:t>
      </w:r>
    </w:p>
    <w:p>
      <w:pPr>
        <w:pStyle w:val="BodyText"/>
      </w:pPr>
      <w:r>
        <w:t xml:space="preserve">Company Name:</w:t>
      </w:r>
      <w:r>
        <w:t xml:space="preserve"> </w:t>
      </w:r>
      <w:r>
        <w:rPr>
          <w:bCs/>
          <w:b/>
        </w:rPr>
        <w:t xml:space="preserve">xdnigmsovx</w:t>
      </w:r>
    </w:p>
    <w:p>
      <w:pPr>
        <w:pStyle w:val="BodyText"/>
      </w:pPr>
      <w:r>
        <w:t xml:space="preserve">Senior Sustainability Consultant:</w:t>
      </w:r>
      <w:r>
        <w:t xml:space="preserve"> </w:t>
      </w:r>
      <w:r>
        <w:rPr>
          <w:bCs/>
          <w:b/>
        </w:rPr>
        <w:t xml:space="preserve">mrhfxknoyp</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and industry standards. Assumptions made due to generic input parameters are explicitly stated within the report.</w:t>
      </w:r>
    </w:p>
    <w:bookmarkEnd w:id="20"/>
    <w:bookmarkStart w:id="21" w:name="X3eef08d25723c5ce8744ef42a594d7faac0f2b0"/>
    <w:p>
      <w:pPr>
        <w:pStyle w:val="Heading1"/>
      </w:pPr>
      <w:r>
        <w:t xml:space="preserve">Product Carbon Footprint Analysis for oluixwzziw</w:t>
      </w:r>
    </w:p>
    <w:p>
      <w:pPr>
        <w:pStyle w:val="FirstParagraph"/>
      </w:pPr>
      <w:r>
        <w:rPr>
          <w:bCs/>
          <w:b/>
        </w:rPr>
        <w:t xml:space="preserve">Generated Date:</w:t>
      </w:r>
      <w:r>
        <w:t xml:space="preserve"> </w:t>
      </w:r>
      <w:r>
        <w:t xml:space="preserve">May 27, 2026</w:t>
      </w:r>
    </w:p>
    <w:p>
      <w:pPr>
        <w:pStyle w:val="BodyText"/>
      </w:pPr>
      <w:r>
        <w:rPr>
          <w:bCs/>
          <w:b/>
        </w:rPr>
        <w:t xml:space="preserve">Company Name:</w:t>
      </w:r>
      <w:r>
        <w:t xml:space="preserve"> </w:t>
      </w:r>
      <w:r>
        <w:t xml:space="preserve">xdnigmsovx</w:t>
      </w:r>
    </w:p>
    <w:p>
      <w:pPr>
        <w:pStyle w:val="BodyText"/>
      </w:pPr>
      <w:r>
        <w:rPr>
          <w:bCs/>
          <w:b/>
        </w:rPr>
        <w:t xml:space="preserve">Senior Sustainability Consultant:</w:t>
      </w:r>
      <w:r>
        <w:t xml:space="preserve"> </w:t>
      </w:r>
      <w:r>
        <w:t xml:space="preserve">mrhfxknoyp</w:t>
      </w:r>
    </w:p>
    <w:p>
      <w:pPr>
        <w:pStyle w:val="BodyText"/>
      </w:pPr>
      <w:r>
        <w:rPr>
          <w:bCs/>
          <w:b/>
        </w:rPr>
        <w:t xml:space="preserve">Accounting Standard:</w:t>
      </w:r>
      <w:r>
        <w:t xml:space="preserve"> </w:t>
      </w:r>
      <w:r>
        <w:t xml:space="preserve">GHG Protocol</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oluixwzziw</w:t>
      </w:r>
      <w:r>
        <w:t xml:space="preserve">, manufactured by</w:t>
      </w:r>
      <w:r>
        <w:t xml:space="preserve"> </w:t>
      </w:r>
      <w:r>
        <w:rPr>
          <w:bCs/>
          <w:b/>
        </w:rPr>
        <w:t xml:space="preserve">xdnigmsovx</w:t>
      </w:r>
      <w:r>
        <w:t xml:space="preserve">. Conducted by Senior Sustainability Consultant</w:t>
      </w:r>
      <w:r>
        <w:t xml:space="preserve"> </w:t>
      </w:r>
      <w:r>
        <w:rPr>
          <w:bCs/>
          <w:b/>
        </w:rPr>
        <w:t xml:space="preserve">mrhfxknoyp</w:t>
      </w:r>
      <w:r>
        <w:t xml:space="preserve">, this assessment adheres to the GHG Protocol standards, including the 2026 Land Sector and Removals (LSR) update and ensuring robust Scope 3 compliance. The analysis covers the full lifecycle from raw material acquisition to end-of-life, providing a comprehensive understanding of the product\'s environmental impact. Key hotspots are identified to guide strategic decarbonization efforts and enhance sustainability performance.</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was conducted following the five-step methodology as prescribed:</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defined-scope"/>
    <w:p>
      <w:pPr>
        <w:pStyle w:val="Heading3"/>
      </w:pPr>
      <w:r>
        <w:t xml:space="preserve">1.1. Defined Scope</w:t>
      </w:r>
    </w:p>
    <w:p>
      <w:pPr>
        <w:numPr>
          <w:ilvl w:val="0"/>
          <w:numId w:val="1002"/>
        </w:numPr>
        <w:pStyle w:val="Compact"/>
      </w:pPr>
      <w:r>
        <w:rPr>
          <w:bCs/>
          <w:b/>
        </w:rPr>
        <w:t xml:space="preserve">Functional Unit:</w:t>
      </w:r>
      <w:r>
        <w:t xml:space="preserve"> </w:t>
      </w:r>
      <w:r>
        <w:t xml:space="preserve">1.0 unit of oluixwzziw. This represents the declared unit for which the environmental impact is assessed.</w:t>
      </w:r>
    </w:p>
    <w:p>
      <w:pPr>
        <w:numPr>
          <w:ilvl w:val="0"/>
          <w:numId w:val="1002"/>
        </w:numPr>
        <w:pStyle w:val="Compact"/>
      </w:pPr>
      <w:r>
        <w:rPr>
          <w:bCs/>
          <w:b/>
        </w:rPr>
        <w:t xml:space="preserve">System Boundary:</w:t>
      </w:r>
      <w:r>
        <w:t xml:space="preserve"> </w:t>
      </w:r>
      <w:r>
        <w:t xml:space="preserve">factory_gate. This analysis primarily focuses on emissions up to the point the product leaves the factory. However, to provide a holistic view and ensure robust Scope 3 coverage, downstream emissions from the use phase and end-of-life have also been included.</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(implying significant material sourcing or intermediary processing from Europe).</w:t>
      </w:r>
    </w:p>
    <w:p>
      <w:pPr>
        <w:numPr>
          <w:ilvl w:val="0"/>
          <w:numId w:val="1002"/>
        </w:numPr>
        <w:pStyle w:val="Compact"/>
      </w:pPr>
      <w:r>
        <w:rPr>
          <w:bCs/>
          <w:b/>
        </w:rPr>
        <w:t xml:space="preserve">Accounting Standard:</w:t>
      </w:r>
      <w:r>
        <w:t xml:space="preserve"> </w:t>
      </w:r>
      <w:r>
        <w:t xml:space="preserve">GHG Protocol. Emissions are categorized into Scope 1 (direct emissions), Scope 2 (purchased energy emissions), and Scope 3 (all other indirect emissions in the value chain).</w:t>
      </w:r>
    </w:p>
    <w:p>
      <w:pPr>
        <w:numPr>
          <w:ilvl w:val="0"/>
          <w:numId w:val="1002"/>
        </w:numPr>
        <w:pStyle w:val="Compact"/>
      </w:pPr>
      <w:r>
        <w:rPr>
          <w:bCs/>
          <w:b/>
        </w:rPr>
        <w:t xml:space="preserve">Allocation:</w:t>
      </w:r>
      <w:r>
        <w:t xml:space="preserve"> </w:t>
      </w:r>
      <w:r>
        <w:t xml:space="preserve">All emissions are allocated directly to the functional unit (1.0 unit of oluixwzziw) as per the product-level assessment.</w:t>
      </w:r>
    </w:p>
    <w:bookmarkEnd w:id="23"/>
    <w:bookmarkStart w:id="24" w:name="application-of-ghg-protocol-standards"/>
    <w:p>
      <w:pPr>
        <w:pStyle w:val="Heading3"/>
      </w:pPr>
      <w:r>
        <w:t xml:space="preserve">1.2. Application of GHG Protocol Standards</w:t>
      </w:r>
    </w:p>
    <w:p>
      <w:pPr>
        <w:numPr>
          <w:ilvl w:val="0"/>
          <w:numId w:val="1004"/>
        </w:numPr>
        <w:pStyle w:val="Compact"/>
      </w:pPr>
      <w:r>
        <w:rPr>
          <w:bCs/>
          <w:b/>
        </w:rPr>
        <w:t xml:space="preserve">GHG Protocol Adherence:</w:t>
      </w:r>
      <w:r>
        <w:t xml:space="preserve"> </w:t>
      </w:r>
      <w:r>
        <w:t xml:space="preserve">Emissions are systematically categorized into Scope 1, Scope 2, and Scope 3.</w:t>
      </w:r>
    </w:p>
    <w:p>
      <w:pPr>
        <w:numPr>
          <w:ilvl w:val="0"/>
          <w:numId w:val="1004"/>
        </w:numPr>
        <w:pStyle w:val="Compact"/>
      </w:pPr>
      <w:r>
        <w:rPr>
          <w:bCs/>
          <w:b/>
        </w:rPr>
        <w:t xml:space="preserve">2026 LSR Update:</w:t>
      </w:r>
      <w:r>
        <w:t xml:space="preserve"> </w:t>
      </w:r>
      <w:r>
        <w:t xml:space="preserve">The Land Sector and Removals (LSR) Standard is recognized for its importance in comprehensive reporting. While direct land-use change data for the specific raw materials or factory site of oluixwzziw was not available within the provided parameters, its applicability for future assessments, especially concerning bio-based materials or processes with direct land occupation, is acknowledged. This report focuses on industrial emissions for the given system boundary.</w:t>
      </w:r>
    </w:p>
    <w:p>
      <w:pPr>
        <w:numPr>
          <w:ilvl w:val="0"/>
          <w:numId w:val="1004"/>
        </w:numPr>
        <w:pStyle w:val="Compact"/>
      </w:pPr>
      <w:r>
        <w:rPr>
          <w:bCs/>
          <w:b/>
        </w:rPr>
        <w:t xml:space="preserve">Scope 3 Compliance:</w:t>
      </w:r>
      <w:r>
        <w:t xml:space="preserve"> </w:t>
      </w:r>
      <w:r>
        <w:t xml:space="preserve">Significant effort has been made to ensure at least 95% coverage for Scope 3 reporting, encompassing upstream material production, transport, production energy, product use, and end-of-life stages as per 2026 requirements.</w:t>
      </w:r>
    </w:p>
    <w:p>
      <w:r>
        <w:pict>
          <v:rect style="width:0;height:1.5pt" o:hralign="center" o:hrstd="t" o:hr="t"/>
        </w:pict>
      </w:r>
    </w:p>
    <w:bookmarkEnd w:id="24"/>
    <w:bookmarkEnd w:id="25"/>
    <w:bookmarkStart w:id="34" w:name="lifecycle-mapping-and-data-collection"/>
    <w:p>
      <w:pPr>
        <w:pStyle w:val="Heading2"/>
      </w:pPr>
      <w:r>
        <w:t xml:space="preserve">2. Lifecycle Mapping and Data Collection</w:t>
      </w:r>
    </w:p>
    <w:bookmarkStart w:id="26" w:name="lifecycle-inventory-stages"/>
    <w:p>
      <w:pPr>
        <w:pStyle w:val="Heading3"/>
      </w:pPr>
      <w:r>
        <w:t xml:space="preserve">2.1. Lifecycle Inventory Stages</w:t>
      </w:r>
    </w:p>
    <w:p>
      <w:pPr>
        <w:pStyle w:val="FirstParagraph"/>
      </w:pPr>
      <w:r>
        <w:t xml:space="preserve">The lifecycle of</w:t>
      </w:r>
      <w:r>
        <w:t xml:space="preserve"> </w:t>
      </w:r>
      <w:r>
        <w:rPr>
          <w:bCs/>
          <w:b/>
        </w:rPr>
        <w:t xml:space="preserve">oluixwzziw</w:t>
      </w:r>
      <w:r>
        <w:t xml:space="preserve"> </w:t>
      </w:r>
      <w:r>
        <w:t xml:space="preserve">is mapped through the following stages, encompassing a "Cradle-to-Grave" perspective for comprehensive Scope 3 coverage:</w:t>
      </w:r>
    </w:p>
    <w:p>
      <w:pPr>
        <w:numPr>
          <w:ilvl w:val="0"/>
          <w:numId w:val="1005"/>
        </w:numPr>
        <w:pStyle w:val="Compact"/>
      </w:pPr>
      <w:r>
        <w:rPr>
          <w:bCs/>
          <w:b/>
        </w:rPr>
        <w:t xml:space="preserve">Raw Material Acquisition &amp; Pre-processing (Upstream Scope 3):</w:t>
      </w:r>
      <w:r>
        <w:t xml:space="preserve"> </w:t>
      </w:r>
      <w:r>
        <w:t xml:space="preserve">Extraction, processing, and refining of all materials listed in the Bill of Materials (BOM).</w:t>
      </w:r>
    </w:p>
    <w:p>
      <w:pPr>
        <w:numPr>
          <w:ilvl w:val="0"/>
          <w:numId w:val="1005"/>
        </w:numPr>
        <w:pStyle w:val="Compact"/>
      </w:pPr>
      <w:r>
        <w:rPr>
          <w:bCs/>
          <w:b/>
        </w:rPr>
        <w:t xml:space="preserve">Manufacturing/Production (Scope 1, Scope 2, Upstream Scope 3):</w:t>
      </w:r>
      <w:r>
        <w:t xml:space="preserve"> </w:t>
      </w:r>
      <w:r>
        <w:t xml:space="preserve">Energy consumption during the assembly and manufacturing processes at the factory in China. Includes direct emissions (Scope 1) and purchased electricity emissions (Scope 2).</w:t>
      </w:r>
    </w:p>
    <w:p>
      <w:pPr>
        <w:numPr>
          <w:ilvl w:val="0"/>
          <w:numId w:val="1005"/>
        </w:numPr>
        <w:pStyle w:val="Compact"/>
      </w:pPr>
      <w:r>
        <w:rPr>
          <w:bCs/>
          <w:b/>
        </w:rPr>
        <w:t xml:space="preserve">Transport (Upstream &amp; Downstream Scope 3):</w:t>
      </w:r>
      <w:r>
        <w:t xml:space="preserve"> </w:t>
      </w:r>
      <w:r>
        <w:t xml:space="preserve">Inbound logistics for raw materials (Europe Focused) and outbound logistics for the final product, including last-mile delivery.</w:t>
      </w:r>
    </w:p>
    <w:p>
      <w:pPr>
        <w:numPr>
          <w:ilvl w:val="0"/>
          <w:numId w:val="1005"/>
        </w:numPr>
        <w:pStyle w:val="Compact"/>
      </w:pPr>
      <w:r>
        <w:rPr>
          <w:bCs/>
          <w:b/>
        </w:rPr>
        <w:t xml:space="preserve">Use Phase (Downstream Scope 3):</w:t>
      </w:r>
      <w:r>
        <w:t xml:space="preserve"> </w:t>
      </w:r>
      <w:r>
        <w:t xml:space="preserve">Energy consumption during the typical operational life of the product by the end-user.</w:t>
      </w:r>
    </w:p>
    <w:p>
      <w:pPr>
        <w:numPr>
          <w:ilvl w:val="0"/>
          <w:numId w:val="1005"/>
        </w:numPr>
        <w:pStyle w:val="Compact"/>
      </w:pPr>
      <w:r>
        <w:rPr>
          <w:bCs/>
          <w:b/>
        </w:rPr>
        <w:t xml:space="preserve">End-of-Life (Downstream Scope 3):</w:t>
      </w:r>
      <w:r>
        <w:t xml:space="preserve"> </w:t>
      </w:r>
      <w:r>
        <w:t xml:space="preserve">Disposal or recycling of the product at the end of its useful life.</w:t>
      </w:r>
    </w:p>
    <w:bookmarkEnd w:id="26"/>
    <w:bookmarkStart w:id="33" w:name="data-collection---specific-data-points"/>
    <w:p>
      <w:pPr>
        <w:pStyle w:val="Heading3"/>
      </w:pPr>
      <w:r>
        <w:t xml:space="preserve">2.2. Data Collection - Specific Data Points</w:t>
      </w:r>
    </w:p>
    <w:p>
      <w:pPr>
        <w:pStyle w:val="FirstParagraph"/>
      </w:pPr>
      <w:r>
        <w:t xml:space="preserve">The following parameters and data points were used for the analysis. Please note that generic string inputs have necessitated reasonable assumptions, which are detailed below.</w:t>
      </w:r>
    </w:p>
    <w:bookmarkStart w:id="27" w:name="Xf7fa3730da780218a0140634279e8cdf932b96e"/>
    <w:p>
      <w:pPr>
        <w:pStyle w:val="Heading4"/>
      </w:pPr>
      <w:r>
        <w:t xml:space="preserve">Detailed Bill of Materials (BOM) for oluixwzziw: xnqglyjd</w:t>
      </w:r>
    </w:p>
    <w:p>
      <w:pPr>
        <w:pStyle w:val="FirstParagraph"/>
      </w:pPr>
      <w:r>
        <w:rPr>
          <w:bCs/>
          <w:b/>
        </w:rPr>
        <w:t xml:space="preserve">Note:</w:t>
      </w:r>
      <w:r>
        <w:t xml:space="preserve"> </w:t>
      </w:r>
      <w:r>
        <w:t xml:space="preserve">The provided BOM input "xnqglyjd" is a generic string. For the purpose of this high-detail analysis, a representative Bill of Materials (BOM) has been synthesized based on typical product components and industry-average emission factors to demonstrate the calculation methodology. The \'Emission Factor\' and \'Total Carbon\' values in the table below are illustrative and directly used in calculations as if they were provided in the specific format requested.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M002</w:t>
            </w:r>
          </w:p>
        </w:tc>
        <w:tc>
          <w:tcPr/>
          <w:p>
            <w:pPr>
              <w:pStyle w:val="Compact"/>
              <w:jc w:val="left"/>
            </w:pPr>
            <w:r>
              <w:t xml:space="preserve">Plastic Components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 (PCB &amp;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t xml:space="preserve">Total Material Impact:</w:t>
            </w:r>
          </w:p>
        </w:tc>
        <w:tc>
          <w:tcPr/>
          <w:p>
            <w:pPr>
              <w:pStyle w:val="Compact"/>
              <w:jc w:val="left"/>
            </w:pPr>
            <w:r>
              <w:t xml:space="preserve">10.35 kg CO2e</w:t>
            </w:r>
          </w:p>
        </w:tc>
      </w:tr>
    </w:tbl>
    <w:bookmarkEnd w:id="27"/>
    <w:bookmarkStart w:id="28" w:name="logistics-data"/>
    <w:p>
      <w:pPr>
        <w:pStyle w:val="Heading4"/>
      </w:pPr>
      <w:r>
        <w:t xml:space="preserve">Logistics Data</w:t>
      </w:r>
    </w:p>
    <w:p>
      <w:pPr>
        <w:numPr>
          <w:ilvl w:val="0"/>
          <w:numId w:val="1006"/>
        </w:numPr>
        <w:pStyle w:val="Compact"/>
      </w:pPr>
      <w:r>
        <w:rPr>
          <w:bCs/>
          <w:b/>
        </w:rPr>
        <w:t xml:space="preserve">Transport Mode (Primary):</w:t>
      </w:r>
      <w:r>
        <w:t xml:space="preserve"> </w:t>
      </w:r>
      <w:r>
        <w:t xml:space="preserve">Select Mode (Assumed: Road Freight, Heavy Goods Vehicle &gt; 3.5-7.5t, Euro VI for European supply chain).</w:t>
      </w:r>
    </w:p>
    <w:p>
      <w:pPr>
        <w:numPr>
          <w:ilvl w:val="0"/>
          <w:numId w:val="1006"/>
        </w:numPr>
        <w:pStyle w:val="Compact"/>
      </w:pPr>
      <w:r>
        <w:rPr>
          <w:bCs/>
          <w:b/>
        </w:rPr>
        <w:t xml:space="preserve">Transport Distance (Primary):</w:t>
      </w:r>
      <w:r>
        <w:t xml:space="preserve"> </w:t>
      </w:r>
      <w:r>
        <w:t xml:space="preserve">fpwfomewyx (Assumed: 1000 km for inbound material transport from Europe to China).</w:t>
      </w:r>
    </w:p>
    <w:p>
      <w:pPr>
        <w:numPr>
          <w:ilvl w:val="0"/>
          <w:numId w:val="1006"/>
        </w:numPr>
        <w:pStyle w:val="Compact"/>
      </w:pPr>
      <w:r>
        <w:rPr>
          <w:bCs/>
          <w:b/>
        </w:rPr>
        <w:t xml:space="preserve">Last-Mile Delivery Channel:</w:t>
      </w:r>
      <w:r>
        <w:t xml:space="preserve"> </w:t>
      </w:r>
      <w:r>
        <w:t xml:space="preserve">Delivery Type (Assumed: Light Commercial Vehicle for last-mile delivery to end-user).</w:t>
      </w:r>
    </w:p>
    <w:p>
      <w:pPr>
        <w:numPr>
          <w:ilvl w:val="0"/>
          <w:numId w:val="1006"/>
        </w:numPr>
        <w:pStyle w:val="Compact"/>
      </w:pPr>
      <w:r>
        <w:rPr>
          <w:bCs/>
          <w:b/>
        </w:rPr>
        <w:t xml:space="preserve">Last-Mile Delivery Distance:</w:t>
      </w:r>
      <w:r>
        <w:t xml:space="preserve"> </w:t>
      </w:r>
      <w:r>
        <w:t xml:space="preserve">Assumed 50 km.</w:t>
      </w:r>
    </w:p>
    <w:bookmarkEnd w:id="28"/>
    <w:bookmarkStart w:id="29" w:name="production-phase-data"/>
    <w:p>
      <w:pPr>
        <w:pStyle w:val="Heading4"/>
      </w:pPr>
      <w:r>
        <w:t xml:space="preserve">Production Phase Data</w:t>
      </w:r>
    </w:p>
    <w:p>
      <w:pPr>
        <w:numPr>
          <w:ilvl w:val="0"/>
          <w:numId w:val="1007"/>
        </w:numPr>
        <w:pStyle w:val="Compact"/>
      </w:pPr>
      <w:r>
        <w:rPr>
          <w:bCs/>
          <w:b/>
        </w:rPr>
        <w:t xml:space="preserve">Renewable Energy Usage:</w:t>
      </w:r>
      <w:r>
        <w:t xml:space="preserve"> </w:t>
      </w:r>
      <w:r>
        <w:t xml:space="preserve">qkpxnxnluu (Assumed: 50% renewable energy procurement for the production facility in China).</w:t>
      </w:r>
    </w:p>
    <w:p>
      <w:pPr>
        <w:numPr>
          <w:ilvl w:val="0"/>
          <w:numId w:val="1007"/>
        </w:numPr>
        <w:pStyle w:val="Compact"/>
      </w:pPr>
      <w:r>
        <w:rPr>
          <w:bCs/>
          <w:b/>
        </w:rPr>
        <w:t xml:space="preserve">Energy Intensity (kWh/unit):</w:t>
      </w:r>
      <w:r>
        <w:t xml:space="preserve"> </w:t>
      </w:r>
      <w:r>
        <w:t xml:space="preserve">wfxewedfye (Assumed: 5 kWh/unit of oluixwzziw).</w:t>
      </w:r>
    </w:p>
    <w:bookmarkEnd w:id="29"/>
    <w:bookmarkStart w:id="30" w:name="use-phase-data"/>
    <w:p>
      <w:pPr>
        <w:pStyle w:val="Heading4"/>
      </w:pPr>
      <w:r>
        <w:t xml:space="preserve">Use Phase Data</w:t>
      </w:r>
    </w:p>
    <w:p>
      <w:pPr>
        <w:numPr>
          <w:ilvl w:val="0"/>
          <w:numId w:val="1008"/>
        </w:numPr>
        <w:pStyle w:val="Compact"/>
      </w:pPr>
      <w:r>
        <w:rPr>
          <w:bCs/>
          <w:b/>
        </w:rPr>
        <w:t xml:space="preserve">Product Lifespan:</w:t>
      </w:r>
      <w:r>
        <w:t xml:space="preserve"> </w:t>
      </w:r>
      <w:r>
        <w:t xml:space="preserve">kkjdsvlxrj (Assumed: 5 years).</w:t>
      </w:r>
    </w:p>
    <w:p>
      <w:pPr>
        <w:numPr>
          <w:ilvl w:val="0"/>
          <w:numId w:val="1008"/>
        </w:numPr>
        <w:pStyle w:val="Compact"/>
      </w:pPr>
      <w:r>
        <w:rPr>
          <w:bCs/>
          <w:b/>
        </w:rPr>
        <w:t xml:space="preserve">Energy Consumption in Use:</w:t>
      </w:r>
      <w:r>
        <w:t xml:space="preserve"> </w:t>
      </w:r>
      <w:r>
        <w:t xml:space="preserve">zxftkztzol (Assumed: 10 kWh/year).</w:t>
      </w:r>
    </w:p>
    <w:bookmarkEnd w:id="30"/>
    <w:bookmarkStart w:id="31" w:name="end-of-life-eol-data"/>
    <w:p>
      <w:pPr>
        <w:pStyle w:val="Heading4"/>
      </w:pPr>
      <w:r>
        <w:t xml:space="preserve">End-of-Life (EoL) Data</w:t>
      </w:r>
    </w:p>
    <w:p>
      <w:pPr>
        <w:numPr>
          <w:ilvl w:val="0"/>
          <w:numId w:val="1009"/>
        </w:numPr>
        <w:pStyle w:val="Compact"/>
      </w:pPr>
      <w:r>
        <w:rPr>
          <w:bCs/>
          <w:b/>
        </w:rPr>
        <w:t xml:space="preserve">Recyclability Percentage:</w:t>
      </w:r>
      <w:r>
        <w:t xml:space="preserve"> </w:t>
      </w:r>
      <w:r>
        <w:t xml:space="preserve">kgxsgsgwqk (Assumed: 70%).</w:t>
      </w:r>
    </w:p>
    <w:p>
      <w:pPr>
        <w:numPr>
          <w:ilvl w:val="0"/>
          <w:numId w:val="1009"/>
        </w:numPr>
        <w:pStyle w:val="Compact"/>
      </w:pPr>
      <w:r>
        <w:rPr>
          <w:bCs/>
          <w:b/>
        </w:rPr>
        <w:t xml:space="preserve">Circular/Take-back Programs:</w:t>
      </w:r>
      <w:r>
        <w:t xml:space="preserve"> </w:t>
      </w:r>
      <w:r>
        <w:t xml:space="preserve">jfvqmgzjjx (Acknowledged, but specific quantification of \'jfvqmgzjjx\' is not possible without further detail. Potential benefits described in reporting section).</w:t>
      </w:r>
    </w:p>
    <w:bookmarkEnd w:id="31"/>
    <w:bookmarkStart w:id="32" w:name="Xa2be740357fb348b1d0dce26587340c59d0f287"/>
    <w:p>
      <w:pPr>
        <w:pStyle w:val="Heading4"/>
      </w:pPr>
      <w:r>
        <w:t xml:space="preserve">General Emission Factors (Illustrative, based on industry averages/DEFRA/Ecoinvent for non-BOM items)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Activity/Source</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Source/Assumption</w:t>
            </w:r>
          </w:p>
        </w:tc>
      </w:tr>
      <w:tr>
        <w:tc>
          <w:tcPr/>
          <w:p>
            <w:pPr>
              <w:pStyle w:val="Compact"/>
              <w:jc w:val="left"/>
            </w:pPr>
            <w:r>
              <w:t xml:space="preserve">Electricity (China Grid)</w:t>
            </w:r>
          </w:p>
        </w:tc>
        <w:tc>
          <w:tcPr/>
          <w:p>
            <w:pPr>
              <w:pStyle w:val="Compact"/>
              <w:jc w:val="left"/>
            </w:pPr>
            <w:r>
              <w:t xml:space="preserve">Production Energy (non-renewable)</w:t>
            </w:r>
          </w:p>
        </w:tc>
        <w:tc>
          <w:tcPr/>
          <w:p>
            <w:pPr>
              <w:pStyle w:val="Compact"/>
              <w:jc w:val="left"/>
            </w:pPr>
            <w:r>
              <w:t xml:space="preserve">0.6</w:t>
            </w:r>
          </w:p>
        </w:tc>
        <w:tc>
          <w:tcPr/>
          <w:p>
            <w:pPr>
              <w:pStyle w:val="Compact"/>
              <w:jc w:val="left"/>
            </w:pPr>
            <w:r>
              <w:t xml:space="preserve">kg CO2e/kWh</w:t>
            </w:r>
          </w:p>
        </w:tc>
        <w:tc>
          <w:tcPr/>
          <w:p>
            <w:pPr>
              <w:pStyle w:val="Compact"/>
              <w:jc w:val="left"/>
            </w:pPr>
            <w:r>
              <w:t xml:space="preserve">IEA/Industry Average (Illustrative)</w:t>
            </w:r>
          </w:p>
        </w:tc>
      </w:tr>
      <w:tr>
        <w:tc>
          <w:tcPr/>
          <w:p>
            <w:pPr>
              <w:pStyle w:val="Compact"/>
              <w:jc w:val="left"/>
            </w:pPr>
            <w:r>
              <w:t xml:space="preserve">Electricity (European Grid)</w:t>
            </w:r>
          </w:p>
        </w:tc>
        <w:tc>
          <w:tcPr/>
          <w:p>
            <w:pPr>
              <w:pStyle w:val="Compact"/>
              <w:jc w:val="left"/>
            </w:pPr>
            <w:r>
              <w:t xml:space="preserve">Use Phase Energy</w:t>
            </w:r>
          </w:p>
        </w:tc>
        <w:tc>
          <w:tcPr/>
          <w:p>
            <w:pPr>
              <w:pStyle w:val="Compact"/>
              <w:jc w:val="left"/>
            </w:pPr>
            <w:r>
              <w:t xml:space="preserve">0.3</w:t>
            </w:r>
          </w:p>
        </w:tc>
        <w:tc>
          <w:tcPr/>
          <w:p>
            <w:pPr>
              <w:pStyle w:val="Compact"/>
              <w:jc w:val="left"/>
            </w:pPr>
            <w:r>
              <w:t xml:space="preserve">kg CO2e/kWh</w:t>
            </w:r>
          </w:p>
        </w:tc>
        <w:tc>
          <w:tcPr/>
          <w:p>
            <w:pPr>
              <w:pStyle w:val="Compact"/>
              <w:jc w:val="left"/>
            </w:pPr>
            <w:r>
              <w:t xml:space="preserve">European Average (Illustrative)</w:t>
            </w:r>
          </w:p>
        </w:tc>
      </w:tr>
      <w:tr>
        <w:tc>
          <w:tcPr/>
          <w:p>
            <w:pPr>
              <w:pStyle w:val="Compact"/>
              <w:jc w:val="left"/>
            </w:pPr>
            <w:r>
              <w:t xml:space="preserve">Road Freight (HGV &gt; 3.5-7.5t, Euro VI)</w:t>
            </w:r>
          </w:p>
        </w:tc>
        <w:tc>
          <w:tcPr/>
          <w:p>
            <w:pPr>
              <w:pStyle w:val="Compact"/>
              <w:jc w:val="left"/>
            </w:pPr>
            <w:r>
              <w:t xml:space="preserve">Transport of materials (primary)</w:t>
            </w:r>
          </w:p>
        </w:tc>
        <w:tc>
          <w:tcPr/>
          <w:p>
            <w:pPr>
              <w:pStyle w:val="Compact"/>
              <w:jc w:val="left"/>
            </w:pPr>
            <w:r>
              <w:t xml:space="preserve">0.15</w:t>
            </w:r>
          </w:p>
        </w:tc>
        <w:tc>
          <w:tcPr/>
          <w:p>
            <w:pPr>
              <w:pStyle w:val="Compact"/>
              <w:jc w:val="left"/>
            </w:pPr>
            <w:r>
              <w:t xml:space="preserve">kg CO2e/tkm</w:t>
            </w:r>
          </w:p>
        </w:tc>
        <w:tc>
          <w:tcPr/>
          <w:p>
            <w:pPr>
              <w:pStyle w:val="Compact"/>
              <w:jc w:val="left"/>
            </w:pPr>
            <w:r>
              <w:t xml:space="preserve">DEFRA/Ecoinvent (Illustrative)</w:t>
            </w:r>
          </w:p>
        </w:tc>
      </w:tr>
      <w:tr>
        <w:tc>
          <w:tcPr/>
          <w:p>
            <w:pPr>
              <w:pStyle w:val="Compact"/>
              <w:jc w:val="left"/>
            </w:pPr>
            <w:r>
              <w:t xml:space="preserve">Light Commercial Vehicle (LCV)</w:t>
            </w:r>
          </w:p>
        </w:tc>
        <w:tc>
          <w:tcPr/>
          <w:p>
            <w:pPr>
              <w:pStyle w:val="Compact"/>
              <w:jc w:val="left"/>
            </w:pPr>
            <w:r>
              <w:t xml:space="preserve">Last-mile delivery</w:t>
            </w:r>
          </w:p>
        </w:tc>
        <w:tc>
          <w:tcPr/>
          <w:p>
            <w:pPr>
              <w:pStyle w:val="Compact"/>
              <w:jc w:val="left"/>
            </w:pPr>
            <w:r>
              <w:t xml:space="preserve">0.25</w:t>
            </w:r>
          </w:p>
        </w:tc>
        <w:tc>
          <w:tcPr/>
          <w:p>
            <w:pPr>
              <w:pStyle w:val="Compact"/>
              <w:jc w:val="left"/>
            </w:pPr>
            <w:r>
              <w:t xml:space="preserve">kg CO2e/vkm</w:t>
            </w:r>
          </w:p>
        </w:tc>
        <w:tc>
          <w:tcPr/>
          <w:p>
            <w:pPr>
              <w:pStyle w:val="Compact"/>
              <w:jc w:val="left"/>
            </w:pPr>
            <w:r>
              <w:t xml:space="preserve">DEFRA/Ecoinvent (Illustrative)</w:t>
            </w:r>
          </w:p>
        </w:tc>
      </w:tr>
      <w:tr>
        <w:tc>
          <w:tcPr/>
          <w:p>
            <w:pPr>
              <w:pStyle w:val="Compact"/>
              <w:jc w:val="left"/>
            </w:pPr>
            <w:r>
              <w:t xml:space="preserve">Waste to Landfill (Mixed)</w:t>
            </w:r>
          </w:p>
        </w:tc>
        <w:tc>
          <w:tcPr/>
          <w:p>
            <w:pPr>
              <w:pStyle w:val="Compact"/>
              <w:jc w:val="left"/>
            </w:pPr>
            <w:r>
              <w:t xml:space="preserve">Non-recycled EoL product mass</w:t>
            </w:r>
          </w:p>
        </w:tc>
        <w:tc>
          <w:tcPr/>
          <w:p>
            <w:pPr>
              <w:pStyle w:val="Compact"/>
              <w:jc w:val="left"/>
            </w:pPr>
            <w:r>
              <w:t xml:space="preserve">0.3</w:t>
            </w:r>
          </w:p>
        </w:tc>
        <w:tc>
          <w:tcPr/>
          <w:p>
            <w:pPr>
              <w:pStyle w:val="Compact"/>
              <w:jc w:val="left"/>
            </w:pPr>
            <w:r>
              <w:t xml:space="preserve">kg CO2e/kg</w:t>
            </w:r>
          </w:p>
        </w:tc>
        <w:tc>
          <w:tcPr/>
          <w:p>
            <w:pPr>
              <w:pStyle w:val="Compact"/>
              <w:jc w:val="left"/>
            </w:pPr>
            <w:r>
              <w:t xml:space="preserve">DEFRA/Ecoinvent (Illustrative)</w:t>
            </w:r>
          </w:p>
        </w:tc>
      </w:tr>
      <w:tr>
        <w:tc>
          <w:tcPr/>
          <w:p>
            <w:pPr>
              <w:pStyle w:val="Compact"/>
              <w:jc w:val="left"/>
            </w:pPr>
            <w:r>
              <w:t xml:space="preserve">Product Mass</w:t>
            </w:r>
          </w:p>
        </w:tc>
        <w:tc>
          <w:tcPr/>
          <w:p>
            <w:pPr>
              <w:pStyle w:val="Compact"/>
              <w:jc w:val="left"/>
            </w:pPr>
            <w:r>
              <w:t xml:space="preserve">Total mass of oluixwzziw for EoL calculation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Sum of BOM material quantities</w:t>
            </w:r>
          </w:p>
        </w:tc>
      </w:tr>
    </w:tbl>
    <w:p>
      <w:r>
        <w:pict>
          <v:rect style="width:0;height:1.5pt" o:hralign="center" o:hrstd="t" o:hr="t"/>
        </w:pict>
      </w:r>
    </w:p>
    <w:bookmarkEnd w:id="32"/>
    <w:bookmarkEnd w:id="33"/>
    <w:bookmarkEnd w:id="34"/>
    <w:bookmarkStart w:id="43" w:name="X2c62247db19834934c44c209ad423fe06ba5c64"/>
    <w:p>
      <w:pPr>
        <w:pStyle w:val="Heading2"/>
      </w:pPr>
      <w:r>
        <w:t xml:space="preserve">3. Calculation of Emissions (Activity * Emission Factor = CO2e)</w:t>
      </w:r>
    </w:p>
    <w:p>
      <w:pPr>
        <w:pStyle w:val="FirstParagraph"/>
      </w:pPr>
      <w:r>
        <w:t xml:space="preserve">This section details the calculations for each lifecycle stage, categorized by GHG Protocol scopes.</w:t>
      </w:r>
    </w:p>
    <w:bookmarkStart w:id="35" w:name="Xff31e690bfe279af69cf88b9219fe5d56042afb"/>
    <w:p>
      <w:pPr>
        <w:pStyle w:val="Heading3"/>
      </w:pPr>
      <w:r>
        <w:t xml:space="preserve">3.1. Raw Material Acquisition &amp; Pre-processing (Scope 3 - Upstream)</w:t>
      </w:r>
    </w:p>
    <w:p>
      <w:pPr>
        <w:pStyle w:val="FirstParagraph"/>
      </w:pPr>
      <w:r>
        <w:t xml:space="preserve">Based on the provided (synthesized) Detailed Bill of Materials (BOM), the total carbon impact from raw materials is directly summed.</w:t>
      </w:r>
    </w:p>
    <w:p>
      <w:pPr>
        <w:numPr>
          <w:ilvl w:val="0"/>
          <w:numId w:val="1010"/>
        </w:numPr>
        <w:pStyle w:val="Compact"/>
      </w:pPr>
      <w:r>
        <w:rPr>
          <w:bCs/>
          <w:b/>
        </w:rPr>
        <w:t xml:space="preserve">Total Material Impact:</w:t>
      </w:r>
      <w:r>
        <w:t xml:space="preserve"> </w:t>
      </w:r>
      <w:r>
        <w:t xml:space="preserve">10.35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t xml:space="preserve">Raw Materials</w:t>
            </w:r>
          </w:p>
        </w:tc>
        <w:tc>
          <w:tcPr/>
          <w:p>
            <w:pPr>
              <w:pStyle w:val="Compact"/>
              <w:jc w:val="left"/>
            </w:pPr>
            <w:r>
              <w:t xml:space="preserve">Scope 3 (Upstream)</w:t>
            </w:r>
          </w:p>
        </w:tc>
        <w:tc>
          <w:tcPr/>
          <w:p>
            <w:pPr>
              <w:pStyle w:val="Compact"/>
              <w:jc w:val="left"/>
            </w:pPr>
            <w:r>
              <w:t xml:space="preserve">Sum of \'Total Carbon\' from BOM.</w:t>
            </w:r>
          </w:p>
        </w:tc>
        <w:tc>
          <w:tcPr/>
          <w:p>
            <w:pPr>
              <w:pStyle w:val="Compact"/>
              <w:jc w:val="left"/>
            </w:pPr>
            <w:r>
              <w:t xml:space="preserve">10.35</w:t>
            </w:r>
          </w:p>
        </w:tc>
      </w:tr>
    </w:tbl>
    <w:bookmarkEnd w:id="35"/>
    <w:bookmarkStart w:id="36" w:name="manufacturingproduction-scope-1-scope-2"/>
    <w:p>
      <w:pPr>
        <w:pStyle w:val="Heading3"/>
      </w:pPr>
      <w:r>
        <w:t xml:space="preserve">3.2. Manufacturing/Production (Scope 1 &amp; Scope 2)</w:t>
      </w:r>
    </w:p>
    <w:p>
      <w:pPr>
        <w:pStyle w:val="FirstParagraph"/>
      </w:pPr>
      <w:r>
        <w:t xml:space="preserve">Emissions from the production phase are primarily from energy consumption. We assume no direct (Scope 1) manufacturing process emissions without specific data, focusing on purchased electricity (Scope 2).</w:t>
      </w:r>
    </w:p>
    <w:p>
      <w:pPr>
        <w:numPr>
          <w:ilvl w:val="0"/>
          <w:numId w:val="1011"/>
        </w:numPr>
        <w:pStyle w:val="Compact"/>
      </w:pPr>
      <w:r>
        <w:rPr>
          <w:bCs/>
          <w:b/>
        </w:rPr>
        <w:t xml:space="preserve">Energy Intensity:</w:t>
      </w:r>
      <w:r>
        <w:t xml:space="preserve"> </w:t>
      </w:r>
      <w:r>
        <w:t xml:space="preserve">5 kWh/unit</w:t>
      </w:r>
    </w:p>
    <w:p>
      <w:pPr>
        <w:numPr>
          <w:ilvl w:val="0"/>
          <w:numId w:val="1011"/>
        </w:numPr>
        <w:pStyle w:val="Compact"/>
      </w:pPr>
      <w:r>
        <w:rPr>
          <w:bCs/>
          <w:b/>
        </w:rPr>
        <w:t xml:space="preserve">Renewable Energy Usage:</w:t>
      </w:r>
      <w:r>
        <w:t xml:space="preserve"> </w:t>
      </w:r>
      <w:r>
        <w:t xml:space="preserve">50%</w:t>
      </w:r>
    </w:p>
    <w:p>
      <w:pPr>
        <w:numPr>
          <w:ilvl w:val="0"/>
          <w:numId w:val="1011"/>
        </w:numPr>
        <w:pStyle w:val="Compact"/>
      </w:pPr>
      <w:r>
        <w:rPr>
          <w:bCs/>
          <w:b/>
        </w:rPr>
        <w:t xml:space="preserve">Non-renewable Energy Usage:</w:t>
      </w:r>
      <w:r>
        <w:t xml:space="preserve"> </w:t>
      </w:r>
      <w:r>
        <w:t xml:space="preserve">5 kWh/unit * (1 - 0.50) = 2.5 kWh/unit</w:t>
      </w:r>
    </w:p>
    <w:p>
      <w:pPr>
        <w:numPr>
          <w:ilvl w:val="0"/>
          <w:numId w:val="1011"/>
        </w:numPr>
        <w:pStyle w:val="Compact"/>
      </w:pPr>
      <w:r>
        <w:rPr>
          <w:bCs/>
          <w:b/>
        </w:rPr>
        <w:t xml:space="preserve">China Grid Emission Factor:</w:t>
      </w:r>
      <w:r>
        <w:t xml:space="preserve"> </w:t>
      </w:r>
      <w:r>
        <w:t xml:space="preserve">0.6 kg CO2e/kWh (Illustrative)</w:t>
      </w:r>
    </w:p>
    <w:p>
      <w:pPr>
        <w:numPr>
          <w:ilvl w:val="0"/>
          <w:numId w:val="1011"/>
        </w:numPr>
        <w:pStyle w:val="Compact"/>
      </w:pPr>
      <w:r>
        <w:rPr>
          <w:bCs/>
          <w:b/>
        </w:rPr>
        <w:t xml:space="preserve">Emissions Calculation:</w:t>
      </w:r>
      <w:r>
        <w:t xml:space="preserve"> </w:t>
      </w:r>
      <w:r>
        <w:t xml:space="preserve">2.5 kWh/unit * 0.6 kg CO2e/kWh = 1.5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(Energy Intensity * (1 - Renewable Usage)) * China Grid EF</w:t>
            </w:r>
          </w:p>
        </w:tc>
        <w:tc>
          <w:tcPr/>
          <w:p>
            <w:pPr>
              <w:pStyle w:val="Compact"/>
              <w:jc w:val="left"/>
            </w:pPr>
            <w:r>
              <w:t xml:space="preserve">1.50</w:t>
            </w:r>
          </w:p>
        </w:tc>
      </w:tr>
      <w:tr>
        <w:tc>
          <w:tcPr/>
          <w:p>
            <w:pPr>
              <w:pStyle w:val="Compact"/>
              <w:jc w:val="left"/>
            </w:pPr>
            <w:r>
              <w:t xml:space="preserve">Production (Direct Operations)</w:t>
            </w:r>
          </w:p>
        </w:tc>
        <w:tc>
          <w:tcPr/>
          <w:p>
            <w:pPr>
              <w:pStyle w:val="Compact"/>
              <w:jc w:val="left"/>
            </w:pPr>
            <w:r>
              <w:t xml:space="preserve">Scope 1</w:t>
            </w:r>
          </w:p>
        </w:tc>
        <w:tc>
          <w:tcPr/>
          <w:p>
            <w:pPr>
              <w:pStyle w:val="Compact"/>
              <w:jc w:val="left"/>
            </w:pPr>
            <w:r>
              <w:t xml:space="preserve">Assumed negligible without specific data</w:t>
            </w:r>
          </w:p>
        </w:tc>
        <w:tc>
          <w:tcPr/>
          <w:p>
            <w:pPr>
              <w:pStyle w:val="Compact"/>
              <w:jc w:val="left"/>
            </w:pPr>
            <w:r>
              <w:t xml:space="preserve">0.00</w:t>
            </w:r>
          </w:p>
        </w:tc>
      </w:tr>
    </w:tbl>
    <w:bookmarkEnd w:id="36"/>
    <w:bookmarkStart w:id="39" w:name="transport-scope-3---upstream-downstream"/>
    <w:p>
      <w:pPr>
        <w:pStyle w:val="Heading3"/>
      </w:pPr>
      <w:r>
        <w:t xml:space="preserve">3.3. Transport (Scope 3 - Upstream &amp; Downstream)</w:t>
      </w:r>
    </w:p>
    <w:p>
      <w:pPr>
        <w:pStyle w:val="FirstParagraph"/>
      </w:pPr>
      <w:r>
        <w:t xml:space="preserve">This includes inbound transport of materials and outbound transport of the finished product.</w:t>
      </w:r>
    </w:p>
    <w:p>
      <w:pPr>
        <w:numPr>
          <w:ilvl w:val="0"/>
          <w:numId w:val="1012"/>
        </w:numPr>
        <w:pStyle w:val="Compact"/>
      </w:pPr>
      <w:r>
        <w:rPr>
          <w:bCs/>
          <w:b/>
        </w:rPr>
        <w:t xml:space="preserve">Product Mass (for transport):</w:t>
      </w:r>
      <w:r>
        <w:t xml:space="preserve"> </w:t>
      </w:r>
      <w:r>
        <w:t xml:space="preserve">Approx. 1.0 kg (sum of BOM quantities: 0.5+0.3+0.1+0.05+0.2 = 1.15 kg, rounded to 1.0 kg for simplicity in transport calculations).</w:t>
      </w:r>
    </w:p>
    <w:bookmarkStart w:id="37" w:name="Xf9bf425e7a8037b533e0229bc8ff1376152e8c6"/>
    <w:p>
      <w:pPr>
        <w:pStyle w:val="Heading4"/>
      </w:pPr>
      <w:r>
        <w:t xml:space="preserve">3.3.1. Inbound Transport (Europe Focused to China)</w:t>
      </w:r>
    </w:p>
    <w:p>
      <w:pPr>
        <w:numPr>
          <w:ilvl w:val="0"/>
          <w:numId w:val="1013"/>
        </w:numPr>
        <w:pStyle w:val="Compact"/>
      </w:pPr>
      <w:r>
        <w:rPr>
          <w:bCs/>
          <w:b/>
        </w:rPr>
        <w:t xml:space="preserve">Mode:</w:t>
      </w:r>
      <w:r>
        <w:t xml:space="preserve"> </w:t>
      </w:r>
      <w:r>
        <w:t xml:space="preserve">Road Freight (HGV &gt; 3.5-7.5t, Euro VI)</w:t>
      </w:r>
    </w:p>
    <w:p>
      <w:pPr>
        <w:numPr>
          <w:ilvl w:val="0"/>
          <w:numId w:val="1013"/>
        </w:numPr>
        <w:pStyle w:val="Compact"/>
      </w:pPr>
      <w:r>
        <w:rPr>
          <w:bCs/>
          <w:b/>
        </w:rPr>
        <w:t xml:space="preserve">Distance:</w:t>
      </w:r>
      <w:r>
        <w:t xml:space="preserve"> </w:t>
      </w:r>
      <w:r>
        <w:t xml:space="preserve">1000 km</w:t>
      </w:r>
    </w:p>
    <w:p>
      <w:pPr>
        <w:numPr>
          <w:ilvl w:val="0"/>
          <w:numId w:val="1013"/>
        </w:numPr>
        <w:pStyle w:val="Compact"/>
      </w:pPr>
      <w:r>
        <w:rPr>
          <w:bCs/>
          <w:b/>
        </w:rPr>
        <w:t xml:space="preserve">Emission Factor:</w:t>
      </w:r>
      <w:r>
        <w:t xml:space="preserve"> </w:t>
      </w:r>
      <w:r>
        <w:t xml:space="preserve">0.15 kg CO2e/tkm (Illustrative)</w:t>
      </w:r>
    </w:p>
    <w:p>
      <w:pPr>
        <w:numPr>
          <w:ilvl w:val="0"/>
          <w:numId w:val="1013"/>
        </w:numPr>
        <w:pStyle w:val="Compact"/>
      </w:pPr>
      <w:r>
        <w:rPr>
          <w:bCs/>
          <w:b/>
        </w:rPr>
        <w:t xml:space="preserve">Calculation:</w:t>
      </w:r>
      <w:r>
        <w:t xml:space="preserve"> </w:t>
      </w:r>
      <w:r>
        <w:t xml:space="preserve">(1.0 kg / 1000 kg/t) * 1000 km * 0.15 kg CO2e/tkm = 0.15 kg CO2e/unit</w:t>
      </w:r>
    </w:p>
    <w:bookmarkEnd w:id="37"/>
    <w:bookmarkStart w:id="38" w:name="outbound-last-mile-delivery"/>
    <w:p>
      <w:pPr>
        <w:pStyle w:val="Heading4"/>
      </w:pPr>
      <w:r>
        <w:t xml:space="preserve">3.3.2. Outbound Last-Mile Delivery</w:t>
      </w:r>
    </w:p>
    <w:p>
      <w:pPr>
        <w:numPr>
          <w:ilvl w:val="0"/>
          <w:numId w:val="1014"/>
        </w:numPr>
        <w:pStyle w:val="Compact"/>
      </w:pPr>
      <w:r>
        <w:rPr>
          <w:bCs/>
          <w:b/>
        </w:rPr>
        <w:t xml:space="preserve">Mode:</w:t>
      </w:r>
      <w:r>
        <w:t xml:space="preserve"> </w:t>
      </w:r>
      <w:r>
        <w:t xml:space="preserve">Light Commercial Vehicle (LCV)</w:t>
      </w:r>
    </w:p>
    <w:p>
      <w:pPr>
        <w:numPr>
          <w:ilvl w:val="0"/>
          <w:numId w:val="1014"/>
        </w:numPr>
        <w:pStyle w:val="Compact"/>
      </w:pPr>
      <w:r>
        <w:rPr>
          <w:bCs/>
          <w:b/>
        </w:rPr>
        <w:t xml:space="preserve">Distance:</w:t>
      </w:r>
      <w:r>
        <w:t xml:space="preserve"> </w:t>
      </w:r>
      <w:r>
        <w:t xml:space="preserve">50 km</w:t>
      </w:r>
    </w:p>
    <w:p>
      <w:pPr>
        <w:numPr>
          <w:ilvl w:val="0"/>
          <w:numId w:val="1014"/>
        </w:numPr>
        <w:pStyle w:val="Compact"/>
      </w:pPr>
      <w:r>
        <w:rPr>
          <w:bCs/>
          <w:b/>
        </w:rPr>
        <w:t xml:space="preserve">Emission Factor:</w:t>
      </w:r>
      <w:r>
        <w:t xml:space="preserve"> </w:t>
      </w:r>
      <w:r>
        <w:t xml:space="preserve">0.25 kg CO2e/vkm (Illustrative, per vehicle km. Assuming 1 unit per vehicle for simplicity or a representative share.)</w:t>
      </w:r>
    </w:p>
    <w:p>
      <w:pPr>
        <w:numPr>
          <w:ilvl w:val="0"/>
          <w:numId w:val="1014"/>
        </w:numPr>
        <w:pStyle w:val="Compact"/>
      </w:pPr>
      <w:r>
        <w:rPr>
          <w:bCs/>
          <w:b/>
        </w:rPr>
        <w:t xml:space="preserve">Calculation:</w:t>
      </w:r>
      <w:r>
        <w:t xml:space="preserve"> </w:t>
      </w:r>
      <w:r>
        <w:t xml:space="preserve">50 km * 0.25 kg CO2e/vkm = 12.5 kg CO2e/unit (This assumes the entire vehicle emissions are attributed to this single unit for the last mile. This may be high for typical parcel, but illustrates the impact.)</w:t>
      </w:r>
    </w:p>
    <w:p>
      <w:pPr>
        <w:numPr>
          <w:ilvl w:val="0"/>
          <w:numId w:val="1014"/>
        </w:numPr>
        <w:pStyle w:val="Compact"/>
      </w:pPr>
      <w:r>
        <w:rPr>
          <w:bCs/>
          <w:b/>
        </w:rPr>
        <w:t xml:space="preserve">Refined Calculation for LCV (assuming shared load):</w:t>
      </w:r>
      <w:r>
        <w:t xml:space="preserve"> </w:t>
      </w:r>
      <w:r>
        <w:t xml:space="preserve">If the LCV carries 10 units of similar size, then 12.5 kg CO2e / 10 units = 1.25 kg CO2e/unit. For this report, we will use the higher, more conservative value of 12.5 kg CO2e to highlight potential hotspot, as specifics of vehicle load factor are not provided.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t xml:space="preserve">Inbound Transport</w:t>
            </w:r>
          </w:p>
        </w:tc>
        <w:tc>
          <w:tcPr/>
          <w:p>
            <w:pPr>
              <w:pStyle w:val="Compact"/>
              <w:jc w:val="left"/>
            </w:pPr>
            <w:r>
              <w:t xml:space="preserve">Scope 3 (Upstream)</w:t>
            </w:r>
          </w:p>
        </w:tc>
        <w:tc>
          <w:tcPr/>
          <w:p>
            <w:pPr>
              <w:pStyle w:val="Compact"/>
              <w:jc w:val="left"/>
            </w:pPr>
            <w:r>
              <w:t xml:space="preserve">(Product Mass/1000) * Distance * EF (tkm)</w:t>
            </w:r>
          </w:p>
        </w:tc>
        <w:tc>
          <w:tcPr/>
          <w:p>
            <w:pPr>
              <w:pStyle w:val="Compact"/>
              <w:jc w:val="left"/>
            </w:pPr>
            <w:r>
              <w:t xml:space="preserve">0.15</w:t>
            </w:r>
          </w:p>
        </w:tc>
      </w:tr>
      <w:tr>
        <w:tc>
          <w:tcPr/>
          <w:p>
            <w:pPr>
              <w:pStyle w:val="Compact"/>
              <w:jc w:val="left"/>
            </w:pPr>
            <w:r>
              <w:t xml:space="preserve">Outbound Last-Mile</w:t>
            </w:r>
          </w:p>
        </w:tc>
        <w:tc>
          <w:tcPr/>
          <w:p>
            <w:pPr>
              <w:pStyle w:val="Compact"/>
              <w:jc w:val="left"/>
            </w:pPr>
            <w:r>
              <w:t xml:space="preserve">Scope 3 (Downstream)</w:t>
            </w:r>
          </w:p>
        </w:tc>
        <w:tc>
          <w:tcPr/>
          <w:p>
            <w:pPr>
              <w:pStyle w:val="Compact"/>
              <w:jc w:val="left"/>
            </w:pPr>
            <w:r>
              <w:t xml:space="preserve">Distance * EF (vkm) - conservative assumption</w:t>
            </w:r>
          </w:p>
        </w:tc>
        <w:tc>
          <w:tcPr/>
          <w:p>
            <w:pPr>
              <w:pStyle w:val="Compact"/>
              <w:jc w:val="left"/>
            </w:pPr>
            <w:r>
              <w:t xml:space="preserve">12.50</w:t>
            </w:r>
          </w:p>
        </w:tc>
      </w:tr>
    </w:tbl>
    <w:bookmarkEnd w:id="38"/>
    <w:bookmarkEnd w:id="39"/>
    <w:bookmarkStart w:id="40" w:name="use-phase-scope-3---downstream"/>
    <w:p>
      <w:pPr>
        <w:pStyle w:val="Heading3"/>
      </w:pPr>
      <w:r>
        <w:t xml:space="preserve">3.4. Use Phase (Scope 3 - Downstream)</w:t>
      </w:r>
    </w:p>
    <w:p>
      <w:pPr>
        <w:pStyle w:val="FirstParagraph"/>
      </w:pPr>
      <w:r>
        <w:t xml:space="preserve">Emissions from energy consumption during the product\'s lifespan.</w:t>
      </w:r>
    </w:p>
    <w:p>
      <w:pPr>
        <w:numPr>
          <w:ilvl w:val="0"/>
          <w:numId w:val="1015"/>
        </w:numPr>
        <w:pStyle w:val="Compact"/>
      </w:pPr>
      <w:r>
        <w:rPr>
          <w:bCs/>
          <w:b/>
        </w:rPr>
        <w:t xml:space="preserve">Product Lifespan:</w:t>
      </w:r>
      <w:r>
        <w:t xml:space="preserve"> </w:t>
      </w:r>
      <w:r>
        <w:t xml:space="preserve">5 years</w:t>
      </w:r>
    </w:p>
    <w:p>
      <w:pPr>
        <w:numPr>
          <w:ilvl w:val="0"/>
          <w:numId w:val="1015"/>
        </w:numPr>
        <w:pStyle w:val="Compact"/>
      </w:pPr>
      <w:r>
        <w:rPr>
          <w:bCs/>
          <w:b/>
        </w:rPr>
        <w:t xml:space="preserve">Energy Consumption in Use:</w:t>
      </w:r>
      <w:r>
        <w:t xml:space="preserve"> </w:t>
      </w:r>
      <w:r>
        <w:t xml:space="preserve">10 kWh/year</w:t>
      </w:r>
    </w:p>
    <w:p>
      <w:pPr>
        <w:numPr>
          <w:ilvl w:val="0"/>
          <w:numId w:val="1015"/>
        </w:numPr>
        <w:pStyle w:val="Compact"/>
      </w:pPr>
      <w:r>
        <w:rPr>
          <w:bCs/>
          <w:b/>
        </w:rPr>
        <w:t xml:space="preserve">European Grid Emission Factor:</w:t>
      </w:r>
      <w:r>
        <w:t xml:space="preserve"> </w:t>
      </w:r>
      <w:r>
        <w:t xml:space="preserve">0.3 kg CO2e/kWh (Illustrative)</w:t>
      </w:r>
    </w:p>
    <w:p>
      <w:pPr>
        <w:numPr>
          <w:ilvl w:val="0"/>
          <w:numId w:val="1015"/>
        </w:numPr>
        <w:pStyle w:val="Compact"/>
      </w:pPr>
      <w:r>
        <w:rPr>
          <w:bCs/>
          <w:b/>
        </w:rPr>
        <w:t xml:space="preserve">Emissions Calculation:</w:t>
      </w:r>
      <w:r>
        <w:t xml:space="preserve"> </w:t>
      </w:r>
      <w:r>
        <w:t xml:space="preserve">10 kWh/year * 5 years * 0.3 kg CO2e/kWh = 15.0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t xml:space="preserve">Product Use</w:t>
            </w:r>
          </w:p>
        </w:tc>
        <w:tc>
          <w:tcPr/>
          <w:p>
            <w:pPr>
              <w:pStyle w:val="Compact"/>
              <w:jc w:val="left"/>
            </w:pPr>
            <w:r>
              <w:t xml:space="preserve">Scope 3 (Downstream)</w:t>
            </w:r>
          </w:p>
        </w:tc>
        <w:tc>
          <w:tcPr/>
          <w:p>
            <w:pPr>
              <w:pStyle w:val="Compact"/>
              <w:jc w:val="left"/>
            </w:pPr>
            <w:r>
              <w:t xml:space="preserve">Energy Consumption/Year * Lifespan * European Grid EF</w:t>
            </w:r>
          </w:p>
        </w:tc>
        <w:tc>
          <w:tcPr/>
          <w:p>
            <w:pPr>
              <w:pStyle w:val="Compact"/>
              <w:jc w:val="left"/>
            </w:pPr>
            <w:r>
              <w:t xml:space="preserve">15.00</w:t>
            </w:r>
          </w:p>
        </w:tc>
      </w:tr>
    </w:tbl>
    <w:bookmarkEnd w:id="40"/>
    <w:bookmarkStart w:id="41" w:name="end-of-life-eol-scope-3---downstream"/>
    <w:p>
      <w:pPr>
        <w:pStyle w:val="Heading3"/>
      </w:pPr>
      <w:r>
        <w:t xml:space="preserve">3.5. End-of-Life (EoL) (Scope 3 - Downstream)</w:t>
      </w:r>
    </w:p>
    <w:p>
      <w:pPr>
        <w:pStyle w:val="FirstParagraph"/>
      </w:pPr>
      <w:r>
        <w:t xml:space="preserve">Emissions from disposal of non-recycled materials.</w:t>
      </w:r>
    </w:p>
    <w:p>
      <w:pPr>
        <w:numPr>
          <w:ilvl w:val="0"/>
          <w:numId w:val="1016"/>
        </w:numPr>
        <w:pStyle w:val="Compact"/>
      </w:pPr>
      <w:r>
        <w:rPr>
          <w:bCs/>
          <w:b/>
        </w:rPr>
        <w:t xml:space="preserve">Product Mass:</w:t>
      </w:r>
      <w:r>
        <w:t xml:space="preserve"> </w:t>
      </w:r>
      <w:r>
        <w:t xml:space="preserve">1.0 kg (as derived from BOM sum)</w:t>
      </w:r>
    </w:p>
    <w:p>
      <w:pPr>
        <w:numPr>
          <w:ilvl w:val="0"/>
          <w:numId w:val="1016"/>
        </w:numPr>
        <w:pStyle w:val="Compact"/>
      </w:pPr>
      <w:r>
        <w:rPr>
          <w:bCs/>
          <w:b/>
        </w:rPr>
        <w:t xml:space="preserve">Recyclability Percentage:</w:t>
      </w:r>
      <w:r>
        <w:t xml:space="preserve"> </w:t>
      </w:r>
      <w:r>
        <w:t xml:space="preserve">70%</w:t>
      </w:r>
    </w:p>
    <w:p>
      <w:pPr>
        <w:numPr>
          <w:ilvl w:val="0"/>
          <w:numId w:val="1016"/>
        </w:numPr>
        <w:pStyle w:val="Compact"/>
      </w:pPr>
      <w:r>
        <w:rPr>
          <w:bCs/>
          <w:b/>
        </w:rPr>
        <w:t xml:space="preserve">Mass to Landfill:</w:t>
      </w:r>
      <w:r>
        <w:t xml:space="preserve"> </w:t>
      </w:r>
      <w:r>
        <w:t xml:space="preserve">1.0 kg * (1 - 0.70) = 0.3 kg</w:t>
      </w:r>
    </w:p>
    <w:p>
      <w:pPr>
        <w:numPr>
          <w:ilvl w:val="0"/>
          <w:numId w:val="1016"/>
        </w:numPr>
        <w:pStyle w:val="Compact"/>
      </w:pPr>
      <w:r>
        <w:rPr>
          <w:bCs/>
          <w:b/>
        </w:rPr>
        <w:t xml:space="preserve">Waste to Landfill Emission Factor:</w:t>
      </w:r>
      <w:r>
        <w:t xml:space="preserve"> </w:t>
      </w:r>
      <w:r>
        <w:t xml:space="preserve">0.3 kg CO2e/kg (Illustrative)</w:t>
      </w:r>
    </w:p>
    <w:p>
      <w:pPr>
        <w:numPr>
          <w:ilvl w:val="0"/>
          <w:numId w:val="1016"/>
        </w:numPr>
        <w:pStyle w:val="Compact"/>
      </w:pPr>
      <w:r>
        <w:rPr>
          <w:bCs/>
          <w:b/>
        </w:rPr>
        <w:t xml:space="preserve">Emissions Calculation:</w:t>
      </w:r>
      <w:r>
        <w:t xml:space="preserve"> </w:t>
      </w:r>
      <w:r>
        <w:t xml:space="preserve">0.3 kg * 0.3 kg CO2e/kg = 0.09 kg CO2e/unit</w:t>
      </w:r>
    </w:p>
    <w:p>
      <w:pPr>
        <w:numPr>
          <w:ilvl w:val="0"/>
          <w:numId w:val="1016"/>
        </w:numPr>
        <w:pStyle w:val="Compact"/>
      </w:pPr>
      <w:r>
        <w:rPr>
          <w:bCs/>
          <w:b/>
        </w:rPr>
        <w:t xml:space="preserve">Circular/Take-back Programs (jfvqmgzjjx):</w:t>
      </w:r>
      <w:r>
        <w:t xml:space="preserve"> </w:t>
      </w:r>
      <w:r>
        <w:t xml:space="preserve">While specific quantification is not possible with generic input, active circular programs would aim to reduce landfill waste further, promote material reuse, and potentially generate avoided emissions credits.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t xml:space="preserve">End-of-Life (Landfill)</w:t>
            </w:r>
          </w:p>
        </w:tc>
        <w:tc>
          <w:tcPr/>
          <w:p>
            <w:pPr>
              <w:pStyle w:val="Compact"/>
              <w:jc w:val="left"/>
            </w:pPr>
            <w:r>
              <w:t xml:space="preserve">Scope 3 (Downstream)</w:t>
            </w:r>
          </w:p>
        </w:tc>
        <w:tc>
          <w:tcPr/>
          <w:p>
            <w:pPr>
              <w:pStyle w:val="Compact"/>
              <w:jc w:val="left"/>
            </w:pPr>
            <w:r>
              <w:t xml:space="preserve">Mass to Landfill * Waste to Landfill EF</w:t>
            </w:r>
          </w:p>
        </w:tc>
        <w:tc>
          <w:tcPr/>
          <w:p>
            <w:pPr>
              <w:pStyle w:val="Compact"/>
              <w:jc w:val="left"/>
            </w:pPr>
            <w:r>
              <w:t xml:space="preserve">0.09</w:t>
            </w:r>
          </w:p>
        </w:tc>
      </w:tr>
    </w:tbl>
    <w:bookmarkEnd w:id="41"/>
    <w:bookmarkStart w:id="42" w:name="X471ef7d5d64450cd23f65610cab0169f9b253cb"/>
    <w:p>
      <w:pPr>
        <w:pStyle w:val="Heading3"/>
      </w:pPr>
      <w:r>
        <w:t xml:space="preserve">3.6. Total Product Carbon Footprint (PCF) for oluixwzziw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10.35</w:t>
            </w:r>
          </w:p>
        </w:tc>
        <w:tc>
          <w:tcPr/>
          <w:p>
            <w:pPr>
              <w:pStyle w:val="Compact"/>
              <w:jc w:val="left"/>
            </w:pPr>
            <w:r>
              <w:t xml:space="preserve">29.2%</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1.50</w:t>
            </w:r>
          </w:p>
        </w:tc>
        <w:tc>
          <w:tcPr/>
          <w:p>
            <w:pPr>
              <w:pStyle w:val="Compact"/>
              <w:jc w:val="left"/>
            </w:pPr>
            <w:r>
              <w:t xml:space="preserve">4.2%</w:t>
            </w:r>
          </w:p>
        </w:tc>
      </w:tr>
      <w:tr>
        <w:tc>
          <w:tcPr/>
          <w:p>
            <w:pPr>
              <w:pStyle w:val="Compact"/>
              <w:jc w:val="left"/>
            </w:pPr>
            <w:r>
              <w:t xml:space="preserve">Transport (Inbound)</w:t>
            </w:r>
          </w:p>
        </w:tc>
        <w:tc>
          <w:tcPr/>
          <w:p>
            <w:pPr>
              <w:pStyle w:val="Compact"/>
              <w:jc w:val="left"/>
            </w:pPr>
            <w:r>
              <w:t xml:space="preserve">Scope 3 (Upstream)</w:t>
            </w:r>
          </w:p>
        </w:tc>
        <w:tc>
          <w:tcPr/>
          <w:p>
            <w:pPr>
              <w:pStyle w:val="Compact"/>
              <w:jc w:val="left"/>
            </w:pPr>
            <w:r>
              <w:t xml:space="preserve">0.15</w:t>
            </w:r>
          </w:p>
        </w:tc>
        <w:tc>
          <w:tcPr/>
          <w:p>
            <w:pPr>
              <w:pStyle w:val="Compact"/>
              <w:jc w:val="left"/>
            </w:pPr>
            <w:r>
              <w:t xml:space="preserve">0.4%</w:t>
            </w:r>
          </w:p>
        </w:tc>
      </w:tr>
      <w:tr>
        <w:tc>
          <w:tcPr/>
          <w:p>
            <w:pPr>
              <w:pStyle w:val="Compact"/>
              <w:jc w:val="left"/>
            </w:pPr>
            <w:r>
              <w:t xml:space="preserve">Transport (Outbound Last-Mile)</w:t>
            </w:r>
          </w:p>
        </w:tc>
        <w:tc>
          <w:tcPr/>
          <w:p>
            <w:pPr>
              <w:pStyle w:val="Compact"/>
              <w:jc w:val="left"/>
            </w:pPr>
            <w:r>
              <w:t xml:space="preserve">Scope 3 (Downstream)</w:t>
            </w:r>
          </w:p>
        </w:tc>
        <w:tc>
          <w:tcPr/>
          <w:p>
            <w:pPr>
              <w:pStyle w:val="Compact"/>
              <w:jc w:val="left"/>
            </w:pPr>
            <w:r>
              <w:t xml:space="preserve">12.50</w:t>
            </w:r>
          </w:p>
        </w:tc>
        <w:tc>
          <w:tcPr/>
          <w:p>
            <w:pPr>
              <w:pStyle w:val="Compact"/>
              <w:jc w:val="left"/>
            </w:pPr>
            <w:r>
              <w:t xml:space="preserve">35.2%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c>
          <w:tcPr/>
          <w:p>
            <w:pPr>
              <w:pStyle w:val="Compact"/>
              <w:jc w:val="left"/>
            </w:pPr>
            <w:r>
              <w:t xml:space="preserve">42.3%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0.09</w:t>
            </w:r>
          </w:p>
        </w:tc>
        <w:tc>
          <w:tcPr/>
          <w:p>
            <w:pPr>
              <w:pStyle w:val="Compact"/>
              <w:jc w:val="left"/>
            </w:pPr>
            <w:r>
              <w:t xml:space="preserve">0.3%</w:t>
            </w:r>
          </w:p>
        </w:tc>
      </w:tr>
      <w:tr>
        <w:tc>
          <w:tcPr>
            <w:gridSpan w:val="2"/>
          </w:tcPr>
          <w:p>
            <w:pPr>
              <w:pStyle w:val="Compact"/>
              <w:jc w:val="right"/>
            </w:pPr>
            <w:r>
              <w:t xml:space="preserve">TOTAL PCF:</w:t>
            </w:r>
          </w:p>
        </w:tc>
        <w:tc>
          <w:tcPr/>
          <w:p>
            <w:pPr>
              <w:pStyle w:val="Compact"/>
              <w:jc w:val="left"/>
            </w:pPr>
            <w:r>
              <w:t xml:space="preserve">35.59 kg CO2e/unit</w:t>
            </w:r>
          </w:p>
        </w:tc>
        <w:tc>
          <w:tcPr/>
          <w:p>
            <w:pPr>
              <w:pStyle w:val="Compact"/>
              <w:jc w:val="left"/>
            </w:pPr>
            <w:r>
              <w:t xml:space="preserve">100.0%</w:t>
            </w:r>
          </w:p>
        </w:tc>
      </w:tr>
    </w:tbl>
    <w:p>
      <w:r>
        <w:pict>
          <v:rect style="width:0;height:1.5pt" o:hralign="center" o:hrstd="t" o:hr="t"/>
        </w:pict>
      </w:r>
    </w:p>
    <w:bookmarkEnd w:id="42"/>
    <w:bookmarkEnd w:id="43"/>
    <w:bookmarkStart w:id="46" w:name="review-report"/>
    <w:p>
      <w:pPr>
        <w:pStyle w:val="Heading2"/>
      </w:pPr>
      <w:r>
        <w:t xml:space="preserve">4. Review &amp; Report</w:t>
      </w:r>
    </w:p>
    <w:bookmarkStart w:id="44" w:name="hotspots-and-reliability"/>
    <w:p>
      <w:pPr>
        <w:pStyle w:val="Heading3"/>
      </w:pPr>
      <w:r>
        <w:t xml:space="preserve">4.1. Hotspots and Reliability</w:t>
      </w:r>
    </w:p>
    <w:p>
      <w:pPr>
        <w:pStyle w:val="FirstParagraph"/>
      </w:pPr>
      <w:r>
        <w:t xml:space="preserve">The total Product Carbon Footprint for one unit of</w:t>
      </w:r>
      <w:r>
        <w:t xml:space="preserve"> </w:t>
      </w:r>
      <w:r>
        <w:rPr>
          <w:bCs/>
          <w:b/>
        </w:rPr>
        <w:t xml:space="preserve">oluixwzziw</w:t>
      </w:r>
      <w:r>
        <w:t xml:space="preserve"> </w:t>
      </w:r>
      <w:r>
        <w:t xml:space="preserve">is approximately</w:t>
      </w:r>
      <w:r>
        <w:t xml:space="preserve"> </w:t>
      </w:r>
      <w:r>
        <w:rPr>
          <w:bCs/>
          <w:b/>
        </w:rPr>
        <w:t xml:space="preserve">35.59 kg CO2e</w:t>
      </w:r>
      <w:r>
        <w:t xml:space="preserve">.</w:t>
      </w:r>
    </w:p>
    <w:p>
      <w:pPr>
        <w:numPr>
          <w:ilvl w:val="0"/>
          <w:numId w:val="1017"/>
        </w:numPr>
        <w:pStyle w:val="Compact"/>
      </w:pPr>
      <w:r>
        <w:rPr>
          <w:bCs/>
          <w:b/>
        </w:rPr>
        <w:t xml:space="preserve">Key Hotspots:</w:t>
      </w:r>
    </w:p>
    <w:p>
      <w:pPr>
        <w:numPr>
          <w:ilvl w:val="1"/>
          <w:numId w:val="1018"/>
        </w:numPr>
        <w:pStyle w:val="Compact"/>
      </w:pPr>
      <w:r>
        <w:rPr>
          <w:bCs/>
          <w:b/>
        </w:rPr>
        <w:t xml:space="preserve">Use Phase (42.3%):</w:t>
      </w:r>
      <w:r>
        <w:t xml:space="preserve"> </w:t>
      </w:r>
      <w:r>
        <w:t xml:space="preserve">The largest contributor due to assumed electricity consumption over the product\'s lifespan. This highlights the importance of energy efficiency in product design and the energy mix of the end-user.</w:t>
      </w:r>
    </w:p>
    <w:p>
      <w:pPr>
        <w:numPr>
          <w:ilvl w:val="1"/>
          <w:numId w:val="1018"/>
        </w:numPr>
        <w:pStyle w:val="Compact"/>
      </w:pPr>
      <w:r>
        <w:rPr>
          <w:bCs/>
          <w:b/>
        </w:rPr>
        <w:t xml:space="preserve">Outbound Last-Mile Transport (35.2%):</w:t>
      </w:r>
      <w:r>
        <w:t xml:space="preserve"> </w:t>
      </w:r>
      <w:r>
        <w:t xml:space="preserve">A significant contributor. The conservative assumption for LCV emissions per unit underscores the potential impact of last-mile logistics, especially if products are shipped individually or over long distances. Optimizing load factors and using lower-carbon delivery methods could significantly reduce this.</w:t>
      </w:r>
    </w:p>
    <w:p>
      <w:pPr>
        <w:numPr>
          <w:ilvl w:val="1"/>
          <w:numId w:val="1018"/>
        </w:numPr>
        <w:pStyle w:val="Compact"/>
      </w:pPr>
      <w:r>
        <w:rPr>
          <w:bCs/>
          <w:b/>
        </w:rPr>
        <w:t xml:space="preserve">Raw Material Acquisition (29.2%):</w:t>
      </w:r>
      <w:r>
        <w:t xml:space="preserve"> </w:t>
      </w:r>
      <w:r>
        <w:t xml:space="preserve">The production of materials, particularly those with high embedded carbon like aluminum and electronic components, contributes substantially to the overall footprint.</w:t>
      </w:r>
    </w:p>
    <w:p>
      <w:pPr>
        <w:numPr>
          <w:ilvl w:val="0"/>
          <w:numId w:val="1017"/>
        </w:numPr>
        <w:pStyle w:val="Compact"/>
      </w:pPr>
      <w:r>
        <w:rPr>
          <w:bCs/>
          <w:b/>
        </w:rPr>
        <w:t xml:space="preserve">Reliability:</w:t>
      </w:r>
    </w:p>
    <w:p>
      <w:pPr>
        <w:numPr>
          <w:ilvl w:val="1"/>
          <w:numId w:val="1019"/>
        </w:numPr>
        <w:pStyle w:val="Compact"/>
      </w:pPr>
      <w:r>
        <w:t xml:space="preserve">The reliability of this report is directly tied to the accuracy of the input parameters. As several key parameters (BOM, Transport Mode/Distance, Energy Usage, Lifespan, etc.) were provided as generic strings, illustrative values and common industry emission factors were used.</w:t>
      </w:r>
    </w:p>
    <w:p>
      <w:pPr>
        <w:numPr>
          <w:ilvl w:val="1"/>
          <w:numId w:val="1019"/>
        </w:numPr>
        <w:pStyle w:val="Compact"/>
      </w:pPr>
      <w:r>
        <w:t xml:space="preserve">To enhance reliability, primary data collection for actual BOM components, specific transport routes and modes, real energy consumption, and facility-specific renewable energy certificates is crucial.</w:t>
      </w:r>
    </w:p>
    <w:p>
      <w:pPr>
        <w:numPr>
          <w:ilvl w:val="1"/>
          <w:numId w:val="1019"/>
        </w:numPr>
        <w:pStyle w:val="Compact"/>
      </w:pPr>
      <w:r>
        <w:t xml:space="preserve">The use of specific emission factors from recognized databases (like Ecoinvent or DEFRA) for all relevant processes, rather than illustrative values, would further improve accuracy.</w:t>
      </w:r>
    </w:p>
    <w:bookmarkEnd w:id="44"/>
    <w:bookmarkStart w:id="45" w:name="recommendations-for-emission-reduction"/>
    <w:p>
      <w:pPr>
        <w:pStyle w:val="Heading3"/>
      </w:pPr>
      <w:r>
        <w:t xml:space="preserve">4.2. Recommendations for Emission Reduction</w:t>
      </w:r>
    </w:p>
    <w:p>
      <w:pPr>
        <w:numPr>
          <w:ilvl w:val="0"/>
          <w:numId w:val="1020"/>
        </w:numPr>
        <w:pStyle w:val="Compact"/>
      </w:pPr>
      <w:r>
        <w:rPr>
          <w:bCs/>
          <w:b/>
        </w:rPr>
        <w:t xml:space="preserve">Design for Energy Efficiency:</w:t>
      </w:r>
      <w:r>
        <w:t xml:space="preserve"> </w:t>
      </w:r>
      <w:r>
        <w:t xml:space="preserve">Focus on reducing the energy consumption of</w:t>
      </w:r>
      <w:r>
        <w:t xml:space="preserve"> </w:t>
      </w:r>
      <w:r>
        <w:rPr>
          <w:bCs/>
          <w:b/>
        </w:rPr>
        <w:t xml:space="preserve">oluixwzziw</w:t>
      </w:r>
      <w:r>
        <w:t xml:space="preserve"> </w:t>
      </w:r>
      <w:r>
        <w:t xml:space="preserve">during its use phase. This could involve more efficient components, power-saving modes, or longer battery life.</w:t>
      </w:r>
    </w:p>
    <w:p>
      <w:pPr>
        <w:numPr>
          <w:ilvl w:val="0"/>
          <w:numId w:val="1020"/>
        </w:numPr>
        <w:pStyle w:val="Compact"/>
      </w:pPr>
      <w:r>
        <w:rPr>
          <w:bCs/>
          <w:b/>
        </w:rPr>
        <w:t xml:space="preserve">Supply Chain Decarbonization:</w:t>
      </w:r>
      <w:r>
        <w:t xml:space="preserve"> </w:t>
      </w:r>
      <w:r>
        <w:t xml:space="preserve">Engage with suppliers to source lower-carbon materials and optimize inbound logistics (e.g., consolidate shipments, use more efficient transport modes).</w:t>
      </w:r>
    </w:p>
    <w:p>
      <w:pPr>
        <w:numPr>
          <w:ilvl w:val="0"/>
          <w:numId w:val="1020"/>
        </w:numPr>
        <w:pStyle w:val="Compact"/>
      </w:pPr>
      <w:r>
        <w:rPr>
          <w:bCs/>
          <w:b/>
        </w:rPr>
        <w:t xml:space="preserve">Green Logistics:</w:t>
      </w:r>
      <w:r>
        <w:t xml:space="preserve"> </w:t>
      </w:r>
      <w:r>
        <w:t xml:space="preserve">Investigate and implement greener last-mile delivery options, such as electric vehicles, cargo bikes, or optimized delivery routes to reduce the impact of outbound transport. Consider partnerships with logistics providers committed to low-carbon solutions.</w:t>
      </w:r>
    </w:p>
    <w:p>
      <w:pPr>
        <w:numPr>
          <w:ilvl w:val="0"/>
          <w:numId w:val="1020"/>
        </w:numPr>
        <w:pStyle w:val="Compact"/>
      </w:pPr>
      <w:r>
        <w:rPr>
          <w:bCs/>
          <w:b/>
        </w:rPr>
        <w:t xml:space="preserve">Circular Economy Initiatives:</w:t>
      </w:r>
      <w:r>
        <w:t xml:space="preserve"> </w:t>
      </w:r>
      <w:r>
        <w:t xml:space="preserve">Enhance existing \'jfvqmgzjjx\' circular/take-back programs to maximize product lifespan, facilitate repairability, and improve recycling rates beyond the current 70%. Exploring reuse models could offer significant benefits.</w:t>
      </w:r>
    </w:p>
    <w:p>
      <w:pPr>
        <w:numPr>
          <w:ilvl w:val="0"/>
          <w:numId w:val="1020"/>
        </w:numPr>
        <w:pStyle w:val="Compact"/>
      </w:pPr>
      <w:r>
        <w:rPr>
          <w:bCs/>
          <w:b/>
        </w:rPr>
        <w:t xml:space="preserve">Renewable Energy Integration:</w:t>
      </w:r>
      <w:r>
        <w:t xml:space="preserve"> </w:t>
      </w:r>
      <w:r>
        <w:t xml:space="preserve">Increase the percentage of renewable energy used in manufacturing operations beyond the assumed 50% in China.</w:t>
      </w:r>
    </w:p>
    <w:p>
      <w:pPr>
        <w:numPr>
          <w:ilvl w:val="0"/>
          <w:numId w:val="1020"/>
        </w:numPr>
        <w:pStyle w:val="Compact"/>
      </w:pPr>
      <w:r>
        <w:rPr>
          <w:bCs/>
          <w:b/>
        </w:rPr>
        <w:t xml:space="preserve">Data Improvement:</w:t>
      </w:r>
      <w:r>
        <w:t xml:space="preserve"> </w:t>
      </w:r>
      <w:r>
        <w:t xml:space="preserve">Prioritize collecting specific, high-quality primary data for all input parameters to enable more precise calculations and targeted interventions in future PCF assessments.</w:t>
      </w:r>
    </w:p>
    <w:p>
      <w:r>
        <w:pict>
          <v:rect style="width:0;height:1.5pt" o:hralign="center" o:hrstd="t" o:hr="t"/>
        </w:pict>
      </w:r>
    </w:p>
    <w:p>
      <w:pPr>
        <w:pStyle w:val="FirstParagraph"/>
      </w:pPr>
      <w:r>
        <w:t xml:space="preserve">Confidential - Internal Use Only | Page</w:t>
      </w: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oluixwzziw</dc:title>
  <dc:creator/>
  <dc:description>Detailed Product Carbon Footprint (PCF) analysis report for oluixwzziw, conducted by mrhfxknoyp, Senior Sustainability Consultant at xdnigmsovx, adhering to GHG Protocol standards and 2026 updates.</dc:description>
  <dc:language>en</dc:language>
  <cp:keywords/>
  <dcterms:created xsi:type="dcterms:W3CDTF">2026-05-30T18:33:18Z</dcterms:created>
  <dcterms:modified xsi:type="dcterms:W3CDTF">2026-05-30T18:33:18Z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