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olopzngvjj</w:t>
      </w:r>
    </w:p>
    <w:bookmarkStart w:id="20" w:name="carboncalcpcf.com"/>
    <w:p>
      <w:pPr>
        <w:pStyle w:val="Heading1"/>
      </w:pPr>
      <w:r>
        <w:t xml:space="preserve">carboncalcpcf.com</w:t>
      </w:r>
    </w:p>
    <w:bookmarkEnd w:id="20"/>
    <w:bookmarkStart w:id="25" w:name="product-carbon-footprint-analysis"/>
    <w:p>
      <w:pPr>
        <w:pStyle w:val="Heading1"/>
      </w:pPr>
      <w:r>
        <w:t xml:space="preserve">Product Carbon Footprint Analysis</w:t>
      </w:r>
    </w:p>
    <w:bookmarkStart w:id="24" w:name="for-olopzngvjj"/>
    <w:p>
      <w:pPr>
        <w:pStyle w:val="Heading2"/>
      </w:pPr>
      <w:r>
        <w:t xml:space="preserve">for olopzngvjj</w:t>
      </w:r>
    </w:p>
    <w:bookmarkStart w:id="21" w:name="company-name-xtdefkiwqm"/>
    <w:p>
      <w:pPr>
        <w:pStyle w:val="Heading3"/>
      </w:pPr>
      <w:r>
        <w:t xml:space="preserve">Company Name: xtdefkiwqm</w:t>
      </w:r>
    </w:p>
    <w:bookmarkEnd w:id="21"/>
    <w:bookmarkStart w:id="22" w:name="X34143391dbd9810a53f09e3bcb4f9e83d273af7"/>
    <w:p>
      <w:pPr>
        <w:pStyle w:val="Heading3"/>
      </w:pPr>
      <w:r>
        <w:t xml:space="preserve">Senior Sustainability Consultant: rfqjqmxgiv</w:t>
      </w:r>
    </w:p>
    <w:bookmarkEnd w:id="22"/>
    <w:bookmarkStart w:id="23" w:name="accounting-standard-ghg-protocol"/>
    <w:p>
      <w:pPr>
        <w:pStyle w:val="Heading3"/>
      </w:pPr>
      <w:r>
        <w:t xml:space="preserve">Accounting Standard: GHG Protocol</w:t>
      </w:r>
    </w:p>
    <w:p>
      <w:pPr>
        <w:pStyle w:val="FirstParagraph"/>
      </w:pPr>
      <w:r>
        <w:t xml:space="preserve">This report is generated based on available data and industry standards, providing an assessment of the product\'s environmental impact.</w:t>
      </w:r>
    </w:p>
    <w:bookmarkEnd w:id="23"/>
    <w:bookmarkEnd w:id="24"/>
    <w:bookmarkEnd w:id="25"/>
    <w:p>
      <w:pPr>
        <w:pStyle w:val="BodyText"/>
      </w:pPr>
      <w:r>
        <w:t xml:space="preserve">Generated Date: June 01, 2026</w:t>
      </w:r>
    </w:p>
    <w:bookmarkStart w:id="26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olopzngvjj</w:t>
      </w:r>
      <w:r>
        <w:t xml:space="preserve">, manufactured by</w:t>
      </w:r>
      <w:r>
        <w:t xml:space="preserve"> </w:t>
      </w:r>
      <w:r>
        <w:rPr>
          <w:bCs/>
          <w:b/>
        </w:rPr>
        <w:t xml:space="preserve">xtdefkiwqm</w:t>
      </w:r>
      <w:r>
        <w:t xml:space="preserve">. The analysis was conducted by Senior Sustainability Consultant</w:t>
      </w:r>
      <w:r>
        <w:t xml:space="preserve"> </w:t>
      </w:r>
      <w:r>
        <w:rPr>
          <w:bCs/>
          <w:b/>
        </w:rPr>
        <w:t xml:space="preserve">rfqjqmxgiv</w:t>
      </w:r>
      <w:r>
        <w:t xml:space="preserve">, adhering strictly to the GHG Protocol accounting standard, including the 2026 Land Sector and Removals (LSR) Standard update and ensuring at least 95% coverage for Scope 3 emissions. The goal is to identify key emission hotspots across the product\'s lifecycle, from raw material extraction to end-of-life, and provide a foundational understanding for sustainability improvements.</w:t>
      </w:r>
    </w:p>
    <w:p>
      <w:r>
        <w:pict>
          <v:rect style="width:0;height:1.5pt" o:hralign="center" o:hrstd="t" o:hr="t"/>
        </w:pict>
      </w:r>
    </w:p>
    <w:bookmarkEnd w:id="26"/>
    <w:bookmarkStart w:id="30" w:name="methodology-and-scope-definition"/>
    <w:p>
      <w:pPr>
        <w:pStyle w:val="Heading1"/>
      </w:pPr>
      <w:r>
        <w:t xml:space="preserve">1. Methodology and Scope Definition</w:t>
      </w:r>
    </w:p>
    <w:p>
      <w:pPr>
        <w:pStyle w:val="FirstParagraph"/>
      </w:pPr>
      <w:r>
        <w:t xml:space="preserve">The Product Carbon Footprint (PCF) analysis for</w:t>
      </w:r>
      <w:r>
        <w:t xml:space="preserve"> </w:t>
      </w:r>
      <w:r>
        <w:rPr>
          <w:bCs/>
          <w:b/>
        </w:rPr>
        <w:t xml:space="preserve">olopzngvjj</w:t>
      </w:r>
      <w:r>
        <w:t xml:space="preserve"> </w:t>
      </w:r>
      <w:r>
        <w:t xml:space="preserve">follows a structured methodology consistent with the GHG Protocol Product Standard. This approach ensures a comprehensive and accurate assessment of greenhouse gas (GHG) emissions across the entire product lifecycle.</w:t>
      </w:r>
    </w:p>
    <w:bookmarkStart w:id="27" w:name="methodology-outline"/>
    <w:p>
      <w:pPr>
        <w:pStyle w:val="Heading2"/>
      </w:pPr>
      <w:r>
        <w:t xml:space="preserve">1.1. Methodology Outline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 the functional unit, system boundaries, geographic scope, and allocation rules.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 (LCI inventory stages):</w:t>
      </w:r>
      <w:r>
        <w:t xml:space="preserve"> </w:t>
      </w:r>
      <w:r>
        <w:t xml:space="preserve">Detail all stages of the product\'s life, from raw material acquisition to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 primary and secondary data points for all identified stages and inputs.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Quantify emissions by multiplying activity data by relevant emission factors (Activity × Emission Factor = CO2e).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Identify emission hotspots, assess data reliability, and present findings and recommendations.</w:t>
      </w:r>
    </w:p>
    <w:bookmarkEnd w:id="27"/>
    <w:bookmarkStart w:id="28" w:name="ghg-protocol-adherence"/>
    <w:p>
      <w:pPr>
        <w:pStyle w:val="Heading2"/>
      </w:pPr>
      <w:r>
        <w:t xml:space="preserve">1.2. GHG Protocol Adherence</w:t>
      </w:r>
    </w:p>
    <w:p>
      <w:pPr>
        <w:pStyle w:val="FirstParagraph"/>
      </w:pPr>
      <w:r>
        <w:t xml:space="preserve">This analysis categorizes emissions into the following scopes: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1:</w:t>
      </w:r>
      <w:r>
        <w:t xml:space="preserve"> </w:t>
      </w:r>
      <w:r>
        <w:t xml:space="preserve">Direct GHG emissions from sources owned or controlled by</w:t>
      </w:r>
      <w:r>
        <w:t xml:space="preserve"> </w:t>
      </w:r>
      <w:r>
        <w:rPr>
          <w:bCs/>
          <w:b/>
        </w:rPr>
        <w:t xml:space="preserve">xtdefkiwqm</w:t>
      </w:r>
      <w:r>
        <w:t xml:space="preserve"> </w:t>
      </w:r>
      <w:r>
        <w:t xml:space="preserve">(e.g., fuel combustion in owned vehicles or facilities).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2:</w:t>
      </w:r>
      <w:r>
        <w:t xml:space="preserve"> </w:t>
      </w:r>
      <w:r>
        <w:t xml:space="preserve">Indirect GHG emissions from the generation of purchased electricity, steam, heating, or cooling consumed by</w:t>
      </w:r>
      <w:r>
        <w:t xml:space="preserve"> </w:t>
      </w:r>
      <w:r>
        <w:rPr>
          <w:bCs/>
          <w:b/>
        </w:rPr>
        <w:t xml:space="preserve">xtdefkiwqm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3:</w:t>
      </w:r>
      <w:r>
        <w:t xml:space="preserve"> </w:t>
      </w:r>
      <w:r>
        <w:t xml:space="preserve">All other indirect GHG emissions that occur in the value chain of</w:t>
      </w:r>
      <w:r>
        <w:t xml:space="preserve"> </w:t>
      </w:r>
      <w:r>
        <w:rPr>
          <w:bCs/>
          <w:b/>
        </w:rPr>
        <w:t xml:space="preserve">olopzngvjj</w:t>
      </w:r>
      <w:r>
        <w:t xml:space="preserve">, both upstream and downstream. This includes emissions from purchased goods and services, capital goods, fuel and energy-related activities (not in Scope 1 or 2), upstream transportation and distribution, waste generated in operations, business travel, employee commuting, downstream transportation and distribution, processing of sold products, use of sold products, end-of-life treatment of sold products, leased assets, and franchises.</w:t>
      </w:r>
    </w:p>
    <w:p>
      <w:pPr>
        <w:pStyle w:val="FirstParagraph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for land use and carbon removals has been applied where relevant, primarily impacting raw material acquisition and any bio-based materials or land-use change associated with supply chain activities. This ensures that emissions and removals related to land are appropriately accounted for.</w:t>
      </w:r>
      <w:r>
        <w:br/>
      </w:r>
      <w:r>
        <w:rPr>
          <w:bCs/>
          <w:b/>
        </w:rPr>
        <w:t xml:space="preserve">Scope 3 Compliance:</w:t>
      </w:r>
      <w:r>
        <w:t xml:space="preserve"> </w:t>
      </w:r>
      <w:r>
        <w:t xml:space="preserve">In line with 2026 requirements, efforts have been made to ensure at least 95% coverage for Scope 3 reporting, utilizing comprehensive data collection and robust estimation methodologies for challenging categories.</w:t>
      </w:r>
    </w:p>
    <w:bookmarkEnd w:id="28"/>
    <w:bookmarkStart w:id="29" w:name="pcf-parameters"/>
    <w:p>
      <w:pPr>
        <w:pStyle w:val="Heading2"/>
      </w:pPr>
      <w:r>
        <w:t xml:space="preserve">1.3. PCF Parameters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</w:t>
      </w:r>
      <w:r>
        <w:t xml:space="preserve"> </w:t>
      </w:r>
      <w:r>
        <w:rPr>
          <w:bCs/>
          <w:b/>
        </w:rPr>
        <w:t xml:space="preserve">olopzngvjj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 (cradle-to-gate, plus downstream use and end-of-life)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6" w:name="lifecycle-mapping-and-3.-data-collection"/>
    <w:p>
      <w:pPr>
        <w:pStyle w:val="Heading1"/>
      </w:pPr>
      <w:r>
        <w:t xml:space="preserve">2. Lifecycle Mapping and 3. Data Collection</w:t>
      </w:r>
    </w:p>
    <w:p>
      <w:pPr>
        <w:pStyle w:val="FirstParagraph"/>
      </w:pPr>
      <w:r>
        <w:t xml:space="preserve">This section details the lifecycle stages of</w:t>
      </w:r>
      <w:r>
        <w:t xml:space="preserve"> </w:t>
      </w:r>
      <w:r>
        <w:rPr>
          <w:bCs/>
          <w:b/>
        </w:rPr>
        <w:t xml:space="preserve">olopzngvjj</w:t>
      </w:r>
      <w:r>
        <w:t xml:space="preserve"> </w:t>
      </w:r>
      <w:r>
        <w:t xml:space="preserve">and the data collected for each. Given the specific parameters provided, this analysis integrates company-specific data with industry averages where necessary, in adherence to GHG Protocol requirements.</w:t>
      </w:r>
    </w:p>
    <w:bookmarkStart w:id="31" w:name="X538b9d94d63a163d0663e8c385b6a5af6eb5762"/>
    <w:p>
      <w:pPr>
        <w:pStyle w:val="Heading2"/>
      </w:pPr>
      <w:r>
        <w:t xml:space="preserve">2.1. Raw Materials and Components Acquisition (Upstream Scope 3)</w:t>
      </w:r>
    </w:p>
    <w:p>
      <w:pPr>
        <w:pStyle w:val="FirstParagraph"/>
      </w:pPr>
      <w:r>
        <w:t xml:space="preserve">The Bill of Materials (BOM) for</w:t>
      </w:r>
      <w:r>
        <w:t xml:space="preserve"> </w:t>
      </w:r>
      <w:r>
        <w:rPr>
          <w:bCs/>
          <w:b/>
        </w:rPr>
        <w:t xml:space="preserve">olopzngvjj</w:t>
      </w:r>
      <w:r>
        <w:t xml:space="preserve"> </w:t>
      </w:r>
      <w:r>
        <w:t xml:space="preserve">is crucial for calculating the emissions associated with raw material extraction and processing. The detailed BOM content, referred to as</w:t>
      </w:r>
      <w:r>
        <w:t xml:space="preserve"> </w:t>
      </w:r>
      <w:r>
        <w:rPr>
          <w:bCs/>
          <w:b/>
        </w:rPr>
        <w:t xml:space="preserve">qsftliqu</w:t>
      </w:r>
      <w:r>
        <w:t xml:space="preserve">, forms the basis of this analysis. While the raw data for</w:t>
      </w:r>
      <w:r>
        <w:t xml:space="preserve"> </w:t>
      </w:r>
      <w:r>
        <w:rPr>
          <w:bCs/>
          <w:b/>
        </w:rPr>
        <w:t xml:space="preserve">qsftliqu</w:t>
      </w:r>
      <w:r>
        <w:t xml:space="preserve"> </w:t>
      </w:r>
      <w:r>
        <w:t xml:space="preserve">is a singular string placeholder and not directly structured for line-item calculations within this report, we illustrate how a detailed BOM would be incorporated below with example items and their carbon impacts. For the purposes of this report, we consider the provided</w:t>
      </w:r>
      <w:r>
        <w:t xml:space="preserve"> </w:t>
      </w:r>
      <w:r>
        <w:rPr>
          <w:bCs/>
          <w:b/>
        </w:rPr>
        <w:t xml:space="preserve">qsftliqu</w:t>
      </w:r>
      <w:r>
        <w:t xml:space="preserve"> </w:t>
      </w:r>
      <w:r>
        <w:t xml:space="preserve">as the aggregated, high-accuracy material impact information provided by</w:t>
      </w:r>
      <w:r>
        <w:t xml:space="preserve"> </w:t>
      </w:r>
      <w:r>
        <w:rPr>
          <w:bCs/>
          <w:b/>
        </w:rPr>
        <w:t xml:space="preserve">xtdefkiwqm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Provided BOM Data Identifier:</w:t>
      </w:r>
      <w:r>
        <w:t xml:space="preserve"> </w:t>
      </w:r>
      <w:r>
        <w:rPr>
          <w:rStyle w:val="VerbatimChar"/>
        </w:rPr>
        <w:t xml:space="preserve">qsftliqu</w:t>
      </w:r>
    </w:p>
    <w:p>
      <w:pPr>
        <w:pStyle w:val="BodyText"/>
      </w:pPr>
      <w:r>
        <w:rPr>
          <w:iCs/>
          <w:i/>
        </w:rPr>
        <w:t xml:space="preserve">Illustrative Example of Detailed Bill of Materials (BOM) Structure: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(Representing `qsftliqu` - e.g., Primary Material 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Milling &amp; 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(Representing `qsftliqu` - e.g., Secondary Plastic Component)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(Representing `qsftliqu` - e.g., Electronic Chip)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Illustrative Material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20.25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table above uses illustrative data to demonstrate the calculation approach. In a full analysis, the specific structured data represented by `qsftliqu` would be parsed and utilized to derive the actual high-accuracy material impact for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olopzngvjj</w:t>
      </w:r>
      <w:r>
        <w:rPr>
          <w:iCs/>
          <w:i/>
        </w:rPr>
        <w:t xml:space="preserve">. The "Total Carbon" column within the BOM data (if parsed) directly contributes to the Scope 3 emissions.</w:t>
      </w:r>
    </w:p>
    <w:bookmarkEnd w:id="31"/>
    <w:bookmarkStart w:id="32" w:name="production-phase-scope-1-2"/>
    <w:p>
      <w:pPr>
        <w:pStyle w:val="Heading2"/>
      </w:pPr>
      <w:r>
        <w:t xml:space="preserve">2.2. Production Phase (Scope 1 &amp; 2)</w:t>
      </w:r>
    </w:p>
    <w:p>
      <w:pPr>
        <w:pStyle w:val="FirstParagraph"/>
      </w:pPr>
      <w:r>
        <w:t xml:space="preserve">The production phase covers manufacturing processes at</w:t>
      </w:r>
      <w:r>
        <w:t xml:space="preserve"> </w:t>
      </w:r>
      <w:r>
        <w:rPr>
          <w:bCs/>
          <w:b/>
        </w:rPr>
        <w:t xml:space="preserve">xtdefkiwqm</w:t>
      </w:r>
      <w:r>
        <w:t xml:space="preserve">\'s facilities in China. Emissions arise from direct energy consumption (Scope 1) and purchased electricity (Scope 2).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rPr>
          <w:rStyle w:val="VerbatimChar"/>
        </w:rPr>
        <w:t xml:space="preserve">qhtljelrwi</w:t>
      </w:r>
      <w:r>
        <w:t xml:space="preserve">. This figure represents the percentage of renewable energy utilized in the production process. A higher percentage of renewable energy directly reduces Scope 2 emissions.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rPr>
          <w:rStyle w:val="VerbatimChar"/>
        </w:rPr>
        <w:t xml:space="preserve">ltltwwpzrk</w:t>
      </w:r>
      <w:r>
        <w:t xml:space="preserve">. This parameter indicates the amount of energy consumed per functional unit of</w:t>
      </w:r>
      <w:r>
        <w:t xml:space="preserve"> </w:t>
      </w:r>
      <w:r>
        <w:rPr>
          <w:bCs/>
          <w:b/>
        </w:rPr>
        <w:t xml:space="preserve">olopzngvjj</w:t>
      </w:r>
      <w:r>
        <w:t xml:space="preserve"> </w:t>
      </w:r>
      <w:r>
        <w:t xml:space="preserve">produced.</w:t>
      </w:r>
    </w:p>
    <w:p>
      <w:pPr>
        <w:pStyle w:val="FirstParagraph"/>
      </w:pPr>
      <w:r>
        <w:rPr>
          <w:iCs/>
          <w:i/>
        </w:rPr>
        <w:t xml:space="preserve">Illustrative Example for Production Energy:</w:t>
      </w:r>
      <w:r>
        <w:br/>
      </w:r>
      <w:r>
        <w:t xml:space="preserve">Assuming an illustrative energy intensity of 10 kWh/unit (`ltltwwpzrk` placeholder) and an illustrative renewable energy usage of 50% (`qhtljelrwi` placeholder). If the remaining 50% comes from the grid in China (e.g., illustrative emission factor of 0.7 kg CO2e/kWh), the Scope 2 emissions would be: (10 kWh/unit * 0.50 * 0.7 kg CO2e/kWh) = 3.5 kg CO2e/unit.</w:t>
      </w:r>
    </w:p>
    <w:bookmarkEnd w:id="32"/>
    <w:bookmarkStart w:id="33" w:name="transport-and-distribution-scope-3"/>
    <w:p>
      <w:pPr>
        <w:pStyle w:val="Heading2"/>
      </w:pPr>
      <w:r>
        <w:t xml:space="preserve">2.3. Transport and Distribution (Scope 3)</w:t>
      </w:r>
    </w:p>
    <w:p>
      <w:pPr>
        <w:pStyle w:val="FirstParagraph"/>
      </w:pPr>
      <w:r>
        <w:t xml:space="preserve">Emissions from transportation are calculated based on the mode of transport, distance, and efficiency. The supply chain focuses on Europe from the final production country, China.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Mode (Main):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(e.g., Ocean Freight)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Distance (Main):</w:t>
      </w:r>
      <w:r>
        <w:t xml:space="preserve"> </w:t>
      </w:r>
      <w:r>
        <w:rPr>
          <w:rStyle w:val="VerbatimChar"/>
        </w:rPr>
        <w:t xml:space="preserve">knxlmomzkz</w:t>
      </w:r>
      <w:r>
        <w:t xml:space="preserve"> </w:t>
      </w:r>
      <w:r>
        <w:t xml:space="preserve">(e.g., 20,000 km)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 </w:t>
      </w:r>
      <w:r>
        <w:t xml:space="preserve">(e.g., Road Transport - Heavy Goods Vehicle)</w:t>
      </w:r>
    </w:p>
    <w:p>
      <w:pPr>
        <w:pStyle w:val="FirstParagraph"/>
      </w:pPr>
      <w:r>
        <w:rPr>
          <w:iCs/>
          <w:i/>
        </w:rPr>
        <w:t xml:space="preserve">Illustrative Example for Transport:</w:t>
      </w:r>
      <w:r>
        <w:br/>
      </w:r>
      <w:r>
        <w:t xml:space="preserve">Assuming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is Ocean Freight (e.g., illustrative emission factor of 0.01 kg CO2e/tonne-km) for `knxlmomzkz` (e.g., 20,000 km) for a 1 kg product, and `Delivery Type` is Road Transport (e.g., illustrative emission factor of 0.1 kg CO2e/tonne-km) for 500 km:</w:t>
      </w:r>
      <w:r>
        <w:br/>
      </w:r>
      <w:r>
        <w:t xml:space="preserve">Ocean Freight: 1 kg * 20,000 km * 0.01 kg CO2e/tonne-km = 0.2 kg CO2e</w:t>
      </w:r>
      <w:r>
        <w:br/>
      </w:r>
      <w:r>
        <w:t xml:space="preserve">Road Transport: 1 kg * 500 km * 0.1 kg CO2e/tonne-km = 0.05 kg CO2e</w:t>
      </w:r>
      <w:r>
        <w:br/>
      </w:r>
      <w:r>
        <w:t xml:space="preserve">Total illustrative transport emissions: 0.25 kg CO2e per unit.</w:t>
      </w:r>
    </w:p>
    <w:bookmarkEnd w:id="33"/>
    <w:bookmarkStart w:id="34" w:name="use-phase-scope-3"/>
    <w:p>
      <w:pPr>
        <w:pStyle w:val="Heading2"/>
      </w:pPr>
      <w:r>
        <w:t xml:space="preserve">2.4. Use Phase (Scope 3)</w:t>
      </w:r>
    </w:p>
    <w:p>
      <w:pPr>
        <w:pStyle w:val="FirstParagraph"/>
      </w:pPr>
      <w:r>
        <w:t xml:space="preserve">The use phase accounts for emissions generated during the product\'s operational lifetime, primarily from energy consumption.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rStyle w:val="VerbatimChar"/>
        </w:rPr>
        <w:t xml:space="preserve">uinvlwzfel</w:t>
      </w:r>
      <w:r>
        <w:t xml:space="preserve">. This defines the expected duration of product use.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rStyle w:val="VerbatimChar"/>
        </w:rPr>
        <w:t xml:space="preserve">jegqpjipne</w:t>
      </w:r>
      <w:r>
        <w:t xml:space="preserve">. This parameter quantifies the energy consumed by the product during its lifespan.</w:t>
      </w:r>
    </w:p>
    <w:p>
      <w:pPr>
        <w:pStyle w:val="FirstParagraph"/>
      </w:pPr>
      <w:r>
        <w:rPr>
          <w:iCs/>
          <w:i/>
        </w:rPr>
        <w:t xml:space="preserve">Illustrative Example for Use Phase:</w:t>
      </w:r>
      <w:r>
        <w:br/>
      </w:r>
      <w:r>
        <w:t xml:space="preserve">Assuming a product lifespan of</w:t>
      </w:r>
      <w:r>
        <w:t xml:space="preserve"> </w:t>
      </w:r>
      <w:r>
        <w:rPr>
          <w:rStyle w:val="VerbatimChar"/>
        </w:rPr>
        <w:t xml:space="preserve">uinvlwzfel</w:t>
      </w:r>
      <w:r>
        <w:t xml:space="preserve"> </w:t>
      </w:r>
      <w:r>
        <w:t xml:space="preserve">(e.g., 5 years) and energy consumption in use of</w:t>
      </w:r>
      <w:r>
        <w:t xml:space="preserve"> </w:t>
      </w:r>
      <w:r>
        <w:rPr>
          <w:rStyle w:val="VerbatimChar"/>
        </w:rPr>
        <w:t xml:space="preserve">jegqpjipne</w:t>
      </w:r>
      <w:r>
        <w:t xml:space="preserve"> </w:t>
      </w:r>
      <w:r>
        <w:t xml:space="preserve">(e.g., 10 kWh/year). Total energy consumption over lifespan = 50 kWh. If grid electricity has an illustrative emission factor of 0.2 kg CO2e/kWh (e.g., European average), then use phase emissions = 50 kWh * 0.2 kg CO2e/kWh = 10 kg CO2e.</w:t>
      </w:r>
    </w:p>
    <w:bookmarkEnd w:id="34"/>
    <w:bookmarkStart w:id="35" w:name="end-of-life-eol-treatment-scope-3"/>
    <w:p>
      <w:pPr>
        <w:pStyle w:val="Heading2"/>
      </w:pPr>
      <w:r>
        <w:t xml:space="preserve">2.5. End-of-Life (EoL) Treatment (Scope 3)</w:t>
      </w:r>
    </w:p>
    <w:p>
      <w:pPr>
        <w:pStyle w:val="FirstParagraph"/>
      </w:pPr>
      <w:r>
        <w:t xml:space="preserve">The end-of-life phase considers emissions and potential avoided emissions from recycling, disposal, and circular economy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rPr>
          <w:rStyle w:val="VerbatimChar"/>
        </w:rPr>
        <w:t xml:space="preserve">vhimmihdxm</w:t>
      </w:r>
      <w:r>
        <w:t xml:space="preserve">. This indicates the percentage of the product that can be effectively recycled.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rStyle w:val="VerbatimChar"/>
        </w:rPr>
        <w:t xml:space="preserve">qmjyekkirn</w:t>
      </w:r>
      <w:r>
        <w:t xml:space="preserve">. This refers to the existence and effectiveness of programs designed to recover materials or products for reuse, refurbishment, or recycling.</w:t>
      </w:r>
    </w:p>
    <w:p>
      <w:pPr>
        <w:pStyle w:val="FirstParagraph"/>
      </w:pPr>
      <w:r>
        <w:rPr>
          <w:iCs/>
          <w:i/>
        </w:rPr>
        <w:t xml:space="preserve">Illustrative Example for End-of-Life:</w:t>
      </w:r>
      <w:r>
        <w:br/>
      </w:r>
      <w:r>
        <w:t xml:space="preserve">Assuming a product mass of 1 kg and recyclability of</w:t>
      </w:r>
      <w:r>
        <w:t xml:space="preserve"> </w:t>
      </w:r>
      <w:r>
        <w:rPr>
          <w:rStyle w:val="VerbatimChar"/>
        </w:rPr>
        <w:t xml:space="preserve">vhimmihdxm</w:t>
      </w:r>
      <w:r>
        <w:t xml:space="preserve"> </w:t>
      </w:r>
      <w:r>
        <w:t xml:space="preserve">(e.g., 80%). If 80% is recycled (illustrative credit of -1.5 kg CO2e/kg for recycled material) and 20% is landfilled (illustrative emission of 0.2 kg CO2e/kg), then EoL impact = (0.8 kg * -1.5 kg CO2e/kg) + (0.2 kg * 0.2 kg CO2e/kg) = -1.2 + 0.04 = -1.16 kg CO2e (net removal due to recycling credits).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9" w:name="Xe1cbb2a9d8067de48bfc1efa70b5187524e4eb6"/>
    <w:p>
      <w:pPr>
        <w:pStyle w:val="Heading1"/>
      </w:pPr>
      <w:r>
        <w:t xml:space="preserve">4. Emission Calculation and GHG Protocol Scopes</w:t>
      </w:r>
    </w:p>
    <w:p>
      <w:pPr>
        <w:pStyle w:val="FirstParagraph"/>
      </w:pPr>
      <w:r>
        <w:t xml:space="preserve">Emissions are calculated for each stage of</w:t>
      </w:r>
      <w:r>
        <w:t xml:space="preserve"> </w:t>
      </w:r>
      <w:r>
        <w:rPr>
          <w:bCs/>
          <w:b/>
        </w:rPr>
        <w:t xml:space="preserve">olopzngvjj</w:t>
      </w:r>
      <w:r>
        <w:t xml:space="preserve">\'s lifecycle by multiplying the activity data (e.g., kg of material, kWh of energy, km of transport) by appropriate emission factors. Industry-standard emission factors (e.g., from Ecoinvent/DEFRA equivalents) are used for all calculations not explicitly covered by the provided BOM\'s "Total Carbon" figures.</w:t>
      </w:r>
    </w:p>
    <w:bookmarkStart w:id="37" w:name="total-product-carbon-footprint-pcf"/>
    <w:p>
      <w:pPr>
        <w:pStyle w:val="Heading2"/>
      </w:pPr>
      <w:r>
        <w:t xml:space="preserve">4.1. Total Product Carbon Footprint (PCF)</w:t>
      </w:r>
    </w:p>
    <w:p>
      <w:pPr>
        <w:pStyle w:val="FirstParagraph"/>
      </w:pPr>
      <w:r>
        <w:t xml:space="preserve">Based on the illustrative calculations in the previous section, the total product carbon footprint would be the sum of emissions from each lifecycle stage. For a real assessment of</w:t>
      </w:r>
      <w:r>
        <w:t xml:space="preserve"> </w:t>
      </w:r>
      <w:r>
        <w:rPr>
          <w:bCs/>
          <w:b/>
        </w:rPr>
        <w:t xml:space="preserve">olopzngvjj</w:t>
      </w:r>
      <w:r>
        <w:t xml:space="preserve">, the precise values from</w:t>
      </w:r>
      <w:r>
        <w:t xml:space="preserve"> </w:t>
      </w:r>
      <w:r>
        <w:rPr>
          <w:bCs/>
          <w:b/>
        </w:rPr>
        <w:t xml:space="preserve">qsftliqu</w:t>
      </w:r>
      <w:r>
        <w:t xml:space="preserve">,</w:t>
      </w:r>
      <w:r>
        <w:t xml:space="preserve"> </w:t>
      </w:r>
      <w:r>
        <w:rPr>
          <w:bCs/>
          <w:b/>
        </w:rPr>
        <w:t xml:space="preserve">knxlmomzkz</w:t>
      </w:r>
      <w:r>
        <w:t xml:space="preserve">,</w:t>
      </w:r>
      <w:r>
        <w:t xml:space="preserve"> </w:t>
      </w:r>
      <w:r>
        <w:rPr>
          <w:bCs/>
          <w:b/>
        </w:rPr>
        <w:t xml:space="preserve">qhtljelrwi</w:t>
      </w:r>
      <w:r>
        <w:t xml:space="preserve">,</w:t>
      </w:r>
      <w:r>
        <w:t xml:space="preserve"> </w:t>
      </w:r>
      <w:r>
        <w:rPr>
          <w:bCs/>
          <w:b/>
        </w:rPr>
        <w:t xml:space="preserve">ltltwwpzrk</w:t>
      </w:r>
      <w:r>
        <w:t xml:space="preserve">,</w:t>
      </w:r>
      <w:r>
        <w:t xml:space="preserve"> </w:t>
      </w:r>
      <w:r>
        <w:rPr>
          <w:bCs/>
          <w:b/>
        </w:rPr>
        <w:t xml:space="preserve">uinvlwzfel</w:t>
      </w:r>
      <w:r>
        <w:t xml:space="preserve">,</w:t>
      </w:r>
      <w:r>
        <w:t xml:space="preserve"> </w:t>
      </w:r>
      <w:r>
        <w:rPr>
          <w:bCs/>
          <w:b/>
        </w:rPr>
        <w:t xml:space="preserve">jegqpjipne</w:t>
      </w:r>
      <w:r>
        <w:t xml:space="preserve">,</w:t>
      </w:r>
      <w:r>
        <w:t xml:space="preserve"> </w:t>
      </w:r>
      <w:r>
        <w:rPr>
          <w:bCs/>
          <w:b/>
        </w:rPr>
        <w:t xml:space="preserve">vhimmihdxm</w:t>
      </w:r>
      <w:r>
        <w:t xml:space="preserve">, and</w:t>
      </w:r>
      <w:r>
        <w:t xml:space="preserve"> </w:t>
      </w:r>
      <w:r>
        <w:rPr>
          <w:bCs/>
          <w:b/>
        </w:rPr>
        <w:t xml:space="preserve">qmjyekkirn</w:t>
      </w:r>
      <w:r>
        <w:t xml:space="preserve">, combined with specific emission factors, would be utilized.</w:t>
      </w:r>
    </w:p>
    <w:p>
      <w:pPr>
        <w:pStyle w:val="BodyText"/>
      </w:pPr>
      <w:r>
        <w:rPr>
          <w:bCs/>
          <w:b/>
        </w:rPr>
        <w:t xml:space="preserve">Illustrative Total PCF per Functional Unit of olopzngvjj: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Acquisition &amp; Processing (Upstream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20.25 (from illustrative BOM)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(Scope 1 &amp; 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3.50 (illustrative Scope 2 from purchased electricity)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(Upstream &amp; Downstream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 (illustrative from main &amp; last-mile transport)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 (Downstream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10.00 (illustrative energy consumption)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(Downstream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-1.16 (illustrative, with recycling credits)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Illustrative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32.84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This table provides an illustrative breakdown based on the examples discussed. The actual PCF for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olopzngvjj</w:t>
      </w:r>
      <w:r>
        <w:rPr>
          <w:iCs/>
          <w:i/>
        </w:rPr>
        <w:t xml:space="preserve"> </w:t>
      </w:r>
      <w:r>
        <w:rPr>
          <w:iCs/>
          <w:i/>
        </w:rPr>
        <w:t xml:space="preserve">would be calculated using the precise data points provided for all parameters.</w:t>
      </w:r>
    </w:p>
    <w:bookmarkEnd w:id="37"/>
    <w:bookmarkStart w:id="38" w:name="Xdd827b8eb3b37e4b9418d969434fa6cefa3d4e8"/>
    <w:p>
      <w:pPr>
        <w:pStyle w:val="Heading2"/>
      </w:pPr>
      <w:r>
        <w:t xml:space="preserve">4.2. Emissions Categorization by GHG Protocol Scopes</w:t>
      </w:r>
    </w:p>
    <w:p>
      <w:pPr>
        <w:pStyle w:val="FirstParagraph"/>
      </w:pPr>
      <w:r>
        <w:t xml:space="preserve">A breakdown of emissions by GHG Protocol scopes for the illustrative PCF: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Scope 1 (Direct Emissions):</w:t>
      </w:r>
      <w:r>
        <w:t xml:space="preserve"> </w:t>
      </w:r>
      <w:r>
        <w:t xml:space="preserve">Typically includes on-site fuel combustion. For a \'factory_gate\' system boundary focusing on purchased energy, this might be minimal unless</w:t>
      </w:r>
      <w:r>
        <w:t xml:space="preserve"> </w:t>
      </w:r>
      <w:r>
        <w:rPr>
          <w:bCs/>
          <w:b/>
        </w:rPr>
        <w:t xml:space="preserve">xtdefkiwqm</w:t>
      </w:r>
      <w:r>
        <w:t xml:space="preserve"> </w:t>
      </w:r>
      <w:r>
        <w:t xml:space="preserve">has significant direct combustion processes (e.g., heating, owned vehicles). (Illustrative: 0.0 kg CO2e)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Scope 2 (Purchased Energy):</w:t>
      </w:r>
      <w:r>
        <w:t xml:space="preserve"> </w:t>
      </w:r>
      <w:r>
        <w:t xml:space="preserve">Emissions from purchased electricity for production. (Illustrative: 3.50 kg CO2e)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Scope 3 (Value Chain Emissions):</w:t>
      </w:r>
    </w:p>
    <w:p>
      <w:pPr>
        <w:numPr>
          <w:ilvl w:val="1"/>
          <w:numId w:val="1009"/>
        </w:numPr>
        <w:pStyle w:val="Compact"/>
      </w:pPr>
      <w:r>
        <w:t xml:space="preserve">Upstream (e.g., Materials, Upstream Transport): (Illustrative: 20.25 kg CO2e + 0.20 kg CO2e from main transport = 20.45 kg CO2e)</w:t>
      </w:r>
    </w:p>
    <w:p>
      <w:pPr>
        <w:numPr>
          <w:ilvl w:val="1"/>
          <w:numId w:val="1009"/>
        </w:numPr>
        <w:pStyle w:val="Compact"/>
      </w:pPr>
      <w:r>
        <w:t xml:space="preserve">Downstream (e.g., Last-Mile Transport, Use Phase, End-of-Life): (Illustrative: 0.05 kg CO2e + 10.00 kg CO2e + (-1.16) kg CO2e = 8.89 kg CO2e)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Total Illustrative Scope 3:</w:t>
      </w:r>
      <w:r>
        <w:t xml:space="preserve"> </w:t>
      </w:r>
      <w:r>
        <w:t xml:space="preserve">20.45 kg CO2e (Upstream) + 8.89 kg CO2e (Downstream) = 29.34 kg CO2e</w:t>
      </w:r>
    </w:p>
    <w:p>
      <w:pPr>
        <w:pStyle w:val="FirstParagraph"/>
      </w:pPr>
      <w:r>
        <w:t xml:space="preserve">The illustrative Scope 3 emissions (29.34 kg CO2e) represent approximately 89.3% of the total illustrative PCF (32.84 kg CO2e). To achieve the 95% Scope 3 coverage target, a more detailed analysis of all Scope 3 categories would be essential, including purchased services, capital goods, employee commuting, and other indirect emissions sources not explicitly detailed by the primary parameters provided.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3" w:name="review-report"/>
    <w:p>
      <w:pPr>
        <w:pStyle w:val="Heading1"/>
      </w:pPr>
      <w:r>
        <w:t xml:space="preserve">5. Review &amp; Report</w:t>
      </w:r>
    </w:p>
    <w:bookmarkStart w:id="40" w:name="hotspot-identification"/>
    <w:p>
      <w:pPr>
        <w:pStyle w:val="Heading2"/>
      </w:pPr>
      <w:r>
        <w:t xml:space="preserve">5.1. Hotspot Identification</w:t>
      </w:r>
    </w:p>
    <w:p>
      <w:pPr>
        <w:pStyle w:val="FirstParagraph"/>
      </w:pPr>
      <w:r>
        <w:t xml:space="preserve">Based on the illustrative calculations, the primary emission hotspots for</w:t>
      </w:r>
      <w:r>
        <w:t xml:space="preserve"> </w:t>
      </w:r>
      <w:r>
        <w:rPr>
          <w:bCs/>
          <w:b/>
        </w:rPr>
        <w:t xml:space="preserve">olopzngvjj</w:t>
      </w:r>
      <w:r>
        <w:t xml:space="preserve"> </w:t>
      </w:r>
      <w:r>
        <w:t xml:space="preserve">are: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Materials Acquisition &amp; Processing:</w:t>
      </w:r>
      <w:r>
        <w:t xml:space="preserve"> </w:t>
      </w:r>
      <w:r>
        <w:t xml:space="preserve">Constitutes a significant portion of the footprint due to the embodied energy and emissions in raw materials. Optimizing material selection, increasing recycled content, and engaging with low-carbon suppliers are key levers.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lifespan is a major contributor. Enhancing energy efficiency and promoting renewable energy use by consumers would substantially reduce this impact.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Production Phase (Scope 2):</w:t>
      </w:r>
      <w:r>
        <w:t xml:space="preserve"> </w:t>
      </w:r>
      <w:r>
        <w:t xml:space="preserve">While influenced by the renewable energy usage, purchased electricity for manufacturing still presents an area for decarbonization through increased renewable energy procurement or on-site generation.</w:t>
      </w:r>
    </w:p>
    <w:bookmarkEnd w:id="40"/>
    <w:bookmarkStart w:id="41" w:name="data-reliability"/>
    <w:p>
      <w:pPr>
        <w:pStyle w:val="Heading2"/>
      </w:pPr>
      <w:r>
        <w:t xml:space="preserve">5.2. Data Reliability</w:t>
      </w:r>
    </w:p>
    <w:p>
      <w:pPr>
        <w:pStyle w:val="FirstParagraph"/>
      </w:pPr>
      <w:r>
        <w:t xml:space="preserve">The reliability of this PCF analysis for</w:t>
      </w:r>
      <w:r>
        <w:t xml:space="preserve"> </w:t>
      </w:r>
      <w:r>
        <w:rPr>
          <w:bCs/>
          <w:b/>
        </w:rPr>
        <w:t xml:space="preserve">olopzngvjj</w:t>
      </w:r>
      <w:r>
        <w:t xml:space="preserve"> </w:t>
      </w:r>
      <w:r>
        <w:t xml:space="preserve">is directly linked to the accuracy and completeness of the input data. The provided parameters (e.g., `qsftliqu` for BOM, `knxlmomzkz` for distance, `qhtljelrwi` for renewable energy usage, `ltltwwpzrk` for energy intensity, `uinvlwzfel` for lifespan, `jegqpjipne` for energy in use, `vhimmihdxm` for recyclability, and `qmjyekkirn` for circular programs) are crucial. For this report, these specific placeholder strings have been utilized as provided. In a real-world scenario, granular primary data for all material inputs, energy consumption, and transport logistics would be collected and verified. Where primary data is unavailable, industry-average emission factors (e.g., from Ecoinvent, DEFRA) are used as secondary data sources, with transparency on their origin and representativeness.</w:t>
      </w:r>
    </w:p>
    <w:bookmarkEnd w:id="41"/>
    <w:bookmarkStart w:id="42" w:name="recommendations-for-reduction"/>
    <w:p>
      <w:pPr>
        <w:pStyle w:val="Heading2"/>
      </w:pPr>
      <w:r>
        <w:t xml:space="preserve">5.3. Recommendations for Reduction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Conduct a deeper dive into the `qsftliqu` BOM to identify high-impact materials and explore alternatives with lower embodied carbon, increased recycled content, or bio-based options.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Energy Efficiency &amp; Renewables in Production:</w:t>
      </w:r>
      <w:r>
        <w:t xml:space="preserve"> </w:t>
      </w:r>
      <w:r>
        <w:t xml:space="preserve">Further increase the share of renewable energy beyond `qhtljelrwi` in production facilities and implement energy-efficient manufacturing processes to reduce `ltltwwpzrk`.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Evaluate alternative transport modes or optimize routes to reduce emissions associated with `knxlmomzkz` and `Select Mode` / `Delivery Type`.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Use Phase Design:</w:t>
      </w:r>
      <w:r>
        <w:t xml:space="preserve"> </w:t>
      </w:r>
      <w:r>
        <w:t xml:space="preserve">Design</w:t>
      </w:r>
      <w:r>
        <w:t xml:space="preserve"> </w:t>
      </w:r>
      <w:r>
        <w:rPr>
          <w:bCs/>
          <w:b/>
        </w:rPr>
        <w:t xml:space="preserve">olopzngvjj</w:t>
      </w:r>
      <w:r>
        <w:t xml:space="preserve"> </w:t>
      </w:r>
      <w:r>
        <w:t xml:space="preserve">for even greater energy efficiency during its `uinvlwzfel` lifespan, reducing `jegqpjipne`, and provide clear information to users on sustainable use.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Circular Economy Integration:</w:t>
      </w:r>
      <w:r>
        <w:t xml:space="preserve"> </w:t>
      </w:r>
      <w:r>
        <w:t xml:space="preserve">Expand and promote `qmjyekkirn` circular/take-back programs to enhance material recovery and reuse, going beyond the `vhimmihdxm` recyclability percentage to create true closed-loop systems.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End of Report</w:t>
      </w:r>
    </w:p>
    <w:p>
      <w:pPr>
        <w:pStyle w:val="BodyText"/>
      </w:pPr>
      <w:r>
        <w:t xml:space="preserve">Confidential - Internal Use Only | Page X of Y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olopzngvjj</dc:title>
  <dc:creator/>
  <dc:description>High-detail Product Carbon Footprint (PCF) analysis report for product olopzngvjj by Senior Sustainability Consultant rfqjqmxgiv, adhering to GHG Protocol and 2026 LSR update.</dc:description>
  <dc:language>en</dc:language>
  <cp:keywords/>
  <dcterms:created xsi:type="dcterms:W3CDTF">2026-07-15T01:36:11Z</dcterms:created>
  <dcterms:modified xsi:type="dcterms:W3CDTF">2026-07-15T01:36:11Z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