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okyhwrmend</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okyhwrmend"/>
    <w:p>
      <w:pPr>
        <w:pStyle w:val="Heading2"/>
      </w:pPr>
      <w:r>
        <w:t xml:space="preserve">Product: okyhwrmend</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ieqqlrknhi</w:t>
      </w:r>
    </w:p>
    <w:p>
      <w:pPr>
        <w:pStyle w:val="BodyText"/>
      </w:pPr>
      <w:r>
        <w:rPr>
          <w:bCs/>
          <w:b/>
        </w:rPr>
        <w:t xml:space="preserve">Senior Sustainability Consultant:</w:t>
      </w:r>
      <w:r>
        <w:t xml:space="preserve"> </w:t>
      </w:r>
      <w:r>
        <w:t xml:space="preserve">jkzyfvlele</w:t>
      </w:r>
    </w:p>
    <w:p>
      <w:pPr>
        <w:pStyle w:val="BodyText"/>
      </w:pPr>
      <w:r>
        <w:t xml:space="preserve">Disclaimer: This report is generated based on available data and industry standards, utilizing illustrative values for parameters provided as placeholders. While every effort has been made to ensure accuracy and adherence to the GHG Protocol, results may vary with primary, site-specific data.</w:t>
      </w:r>
    </w:p>
    <w:bookmarkEnd w:id="20"/>
    <w:bookmarkEnd w:id="21"/>
    <w:bookmarkStart w:id="22" w:name="product-carbon-footprint-report"/>
    <w:p>
      <w:pPr>
        <w:pStyle w:val="Heading1"/>
      </w:pPr>
      <w:r>
        <w:t xml:space="preserve">Product Carbon Footprint Report</w:t>
      </w:r>
    </w:p>
    <w:p>
      <w:pPr>
        <w:pStyle w:val="FirstParagraph"/>
      </w:pPr>
      <w:r>
        <w:t xml:space="preserve">Generated Date:</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"okyhwrmend," manufactured by ieqqlrknhi. Conducted by jkzyfvlele, Senior Sustainability Consultant, this analysis adheres to the Greenhouse Gas (GHG) Protocol\'s Corporate Accounting and Reporting Standard, including the 2026 updates for the Land Sector and Removals (LSR) Standard and enhanced Scope 3 compliance requirements. The primary objective is to quantify the total greenhouse gas emissions (in CO2e) associated with the product across its entire lifecycle, from raw material extraction to end-of-life, identifying key emission hotspots and providing a basis for strategic decarbonization efforts.</w:t>
      </w:r>
    </w:p>
    <w:p>
      <w:pPr>
        <w:pStyle w:val="BodyText"/>
      </w:pPr>
      <w:r>
        <w:t xml:space="preserve">*Note: Due to the placeholder nature of some input parameters (e.g., BOM specifics, transport details, energy data, lifespan, EoL scenarios), illustrative yet realistic data has been assumed for quantitative analysis. These assumptions are explicitly stated within the relevant sections of this report.*</w:t>
      </w:r>
    </w:p>
    <w:p>
      <w:r>
        <w:pict>
          <v:rect style="width:0;height:1.5pt" o:hralign="center" o:hrstd="t" o:hr="t"/>
        </w:pict>
      </w:r>
    </w:p>
    <w:bookmarkEnd w:id="23"/>
    <w:bookmarkStart w:id="25" w:name="define-scope"/>
    <w:p>
      <w:pPr>
        <w:pStyle w:val="Heading2"/>
      </w:pPr>
      <w:r>
        <w:t xml:space="preserve">1. Define Scope</w:t>
      </w:r>
    </w:p>
    <w:p>
      <w:pPr>
        <w:pStyle w:val="FirstParagraph"/>
      </w:pPr>
      <w:r>
        <w:t xml:space="preserve">This section outlines the foundational parameters guiding the Product Carbon Footprint analysis for okyhwrmend.</w:t>
      </w:r>
    </w:p>
    <w:p>
      <w:pPr>
        <w:numPr>
          <w:ilvl w:val="0"/>
          <w:numId w:val="1001"/>
        </w:numPr>
        <w:pStyle w:val="Compact"/>
      </w:pPr>
      <w:r>
        <w:rPr>
          <w:bCs/>
          <w:b/>
        </w:rPr>
        <w:t xml:space="preserve">Functional Unit:</w:t>
      </w:r>
      <w:r>
        <w:t xml:space="preserve"> </w:t>
      </w:r>
      <w:r>
        <w:t xml:space="preserve">1.0 unit of okyhwrmend</w:t>
      </w:r>
    </w:p>
    <w:p>
      <w:pPr>
        <w:numPr>
          <w:ilvl w:val="0"/>
          <w:numId w:val="1001"/>
        </w:numPr>
        <w:pStyle w:val="Compact"/>
      </w:pPr>
      <w:r>
        <w:rPr>
          <w:bCs/>
          <w:b/>
        </w:rPr>
        <w:t xml:space="preserve">System Boundary:</w:t>
      </w:r>
      <w:r>
        <w:t xml:space="preserve"> </w:t>
      </w:r>
      <w:r>
        <w:t xml:space="preserve">Cradle-to-grave, with a focus on \'factory_gate\' for direct manufacturing processes. The analysis extends to cover upstream (materials, inbound transport) and downstream (outbound transport, use phase, end-of-life) impacts.</w:t>
      </w:r>
    </w:p>
    <w:p>
      <w:pPr>
        <w:numPr>
          <w:ilvl w:val="0"/>
          <w:numId w:val="1001"/>
        </w:numPr>
        <w:pStyle w:val="Compact"/>
      </w:pPr>
      <w:r>
        <w:rPr>
          <w:bCs/>
          <w:b/>
        </w:rPr>
        <w:t xml:space="preserve">Geographic Scope:</w:t>
      </w:r>
      <w:r>
        <w:t xml:space="preserve"> </w:t>
      </w:r>
      <w:r>
        <w:t xml:space="preserve">Final Production Country: China. Supply Chain Focus: Europe Focused (for key material sourcing and distribution to market).</w:t>
      </w:r>
    </w:p>
    <w:p>
      <w:pPr>
        <w:numPr>
          <w:ilvl w:val="0"/>
          <w:numId w:val="1001"/>
        </w:numPr>
        <w:pStyle w:val="Compact"/>
      </w:pPr>
      <w:r>
        <w:rPr>
          <w:bCs/>
          <w:b/>
        </w:rPr>
        <w:t xml:space="preserve">Accounting Standard:</w:t>
      </w:r>
      <w:r>
        <w:t xml:space="preserve"> </w:t>
      </w:r>
      <w:r>
        <w:t xml:space="preserve">Greenhouse Gas Protocol (GHG Protocol). This report categorizes emissions into Scope 1 (direct), Scope 2 (purchased energy), and Scope 3 (value chain) in accordance with the GHG Protocol\'s Corporate Accounting and Reporting Standard.</w:t>
      </w:r>
    </w:p>
    <w:p>
      <w:pPr>
        <w:numPr>
          <w:ilvl w:val="0"/>
          <w:numId w:val="1001"/>
        </w:numPr>
        <w:pStyle w:val="Compact"/>
      </w:pPr>
      <w:r>
        <w:rPr>
          <w:bCs/>
          <w:b/>
        </w:rPr>
        <w:t xml:space="preserve">Allocation:</w:t>
      </w:r>
      <w:r>
        <w:t xml:space="preserve"> </w:t>
      </w:r>
      <w:r>
        <w:t xml:space="preserve">Emissions are allocated based on mass and economic value where appropriate, ensuring no double-counting and comprehensive coverage.</w:t>
      </w:r>
    </w:p>
    <w:bookmarkStart w:id="24" w:name="ghg-protocol-2026-updates-integration"/>
    <w:p>
      <w:pPr>
        <w:pStyle w:val="Heading3"/>
      </w:pPr>
      <w:r>
        <w:t xml:space="preserve">GHG Protocol 2026 Updates Integration:</w:t>
      </w:r>
    </w:p>
    <w:p>
      <w:pPr>
        <w:numPr>
          <w:ilvl w:val="0"/>
          <w:numId w:val="1002"/>
        </w:numPr>
        <w:pStyle w:val="Compact"/>
      </w:pPr>
      <w:r>
        <w:rPr>
          <w:bCs/>
          <w:b/>
        </w:rPr>
        <w:t xml:space="preserve">Land Sector and Removals (LSR) Standard:</w:t>
      </w:r>
      <w:r>
        <w:t xml:space="preserve"> </w:t>
      </w:r>
      <w:r>
        <w:t xml:space="preserve">The analysis acknowledges the 2026 LSR Standard, which provides accounting requirements for land emissions, CO2 removals, and biogenic products. While specific quantification of land use change for every raw material within this report is not feasible without highly granular data, its principles inform the consideration of upstream material impacts.</w:t>
      </w:r>
    </w:p>
    <w:p>
      <w:pPr>
        <w:numPr>
          <w:ilvl w:val="0"/>
          <w:numId w:val="1002"/>
        </w:numPr>
        <w:pStyle w:val="Compact"/>
      </w:pPr>
      <w:r>
        <w:rPr>
          <w:bCs/>
          <w:b/>
        </w:rPr>
        <w:t xml:space="preserve">Scope 3 Compliance:</w:t>
      </w:r>
      <w:r>
        <w:t xml:space="preserve"> </w:t>
      </w:r>
      <w:r>
        <w:t xml:space="preserve">In line with 2026 requirements, this report aims for at least 95% coverage for Scope 3 emissions, ensuring a comprehensive view of value chain impacts.</w:t>
      </w:r>
    </w:p>
    <w:p>
      <w:r>
        <w:pict>
          <v:rect style="width:0;height:1.5pt" o:hralign="center" o:hrstd="t" o:hr="t"/>
        </w:pict>
      </w:r>
    </w:p>
    <w:bookmarkEnd w:id="24"/>
    <w:bookmarkEnd w:id="25"/>
    <w:bookmarkStart w:id="33" w:name="X4c5c2934b06992d426c4d0eda9e80389dfb1d06"/>
    <w:p>
      <w:pPr>
        <w:pStyle w:val="Heading2"/>
      </w:pPr>
      <w:r>
        <w:t xml:space="preserve">2. Map Lifecycle &amp; 3. Collect Data (LCI Inventory &amp; Data Points)</w:t>
      </w:r>
    </w:p>
    <w:p>
      <w:pPr>
        <w:pStyle w:val="FirstParagraph"/>
      </w:pPr>
      <w:r>
        <w:t xml:space="preserve">The lifecycle of okyhwrmend is mapped across five key stages: Materials Acquisition &amp; Pre-processing, Manufacturing, Transport, Use Phase, and End-of-Life. Data collection involves utilizing primary data where provided (illustrative) and secondary data from industry-standard emission factor databases like Ecoinvent and DEFRA for robust calculations.</w:t>
      </w:r>
    </w:p>
    <w:bookmarkStart w:id="26" w:name="Xb2a82759fa0f018f177e1f01d57fcd6dc7cc401"/>
    <w:p>
      <w:pPr>
        <w:pStyle w:val="Heading3"/>
      </w:pPr>
      <w:r>
        <w:t xml:space="preserve">Detailed Bill of Materials (BOM) for okyhwrmend (Illustrative Data based on \'nfmivznd\')</w:t>
      </w:r>
    </w:p>
    <w:p>
      <w:pPr>
        <w:pStyle w:val="FirstParagraph"/>
      </w:pPr>
      <w:r>
        <w:t xml:space="preserve">The following Bill of Materials details the key components and their associated carbon impact for one unit of okyhwrmend. The "Emission Factor" and "Total Carbon" values are illustrative and derived from general industry averages for similar materials, reflecting the provided placeholder `nfmivznd` for BOM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0.525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0.500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0.360</w:t>
            </w:r>
          </w:p>
        </w:tc>
      </w:tr>
      <w:tr>
        <w:tc>
          <w:tcPr/>
          <w:p>
            <w:pPr>
              <w:pStyle w:val="Compact"/>
              <w:jc w:val="left"/>
            </w:pPr>
            <w:r>
              <w:t xml:space="preserve">M004</w:t>
            </w:r>
          </w:p>
        </w:tc>
        <w:tc>
          <w:tcPr/>
          <w:p>
            <w:pPr>
              <w:pStyle w:val="Compact"/>
              <w:jc w:val="left"/>
            </w:pPr>
            <w:r>
              <w:t xml:space="preserve">Aluminum Connectors</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0.050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0.064</w:t>
            </w:r>
          </w:p>
        </w:tc>
      </w:tr>
      <w:tr>
        <w:tc>
          <w:tcPr/>
          <w:p>
            <w:pPr>
              <w:pStyle w:val="Compact"/>
              <w:jc w:val="left"/>
            </w:pPr>
            <w:r>
              <w:t xml:space="preserve">M006</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Component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0.150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1.649 kg CO2e</w:t>
            </w:r>
          </w:p>
        </w:tc>
      </w:tr>
    </w:tbl>
    <w:p>
      <w:pPr>
        <w:pStyle w:val="BodyText"/>
      </w:pPr>
      <w:r>
        <w:rPr>
          <w:iCs/>
          <w:i/>
        </w:rPr>
        <w:t xml:space="preserve">(These material emission factors and total carbon values are illustrative and based on general industry averages, filling the placeholder `nfmivznd`.)</w:t>
      </w:r>
    </w:p>
    <w:bookmarkEnd w:id="26"/>
    <w:bookmarkStart w:id="27" w:name="energy-inputs-manufacturing-phase"/>
    <w:p>
      <w:pPr>
        <w:pStyle w:val="Heading3"/>
      </w:pPr>
      <w:r>
        <w:t xml:space="preserve">Energy Inputs (Manufacturing Phase)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Energy Intensity (kWh/unit):</w:t>
      </w:r>
      <w:r>
        <w:t xml:space="preserve"> </w:t>
      </w:r>
      <w:r>
        <w:t xml:space="preserve">5 kWh/unit (Illustrative, based on `ksioetorsg`)</w:t>
      </w:r>
    </w:p>
    <w:p>
      <w:pPr>
        <w:numPr>
          <w:ilvl w:val="0"/>
          <w:numId w:val="1003"/>
        </w:numPr>
        <w:pStyle w:val="Compact"/>
      </w:pPr>
      <w:r>
        <w:rPr>
          <w:bCs/>
          <w:b/>
        </w:rPr>
        <w:t xml:space="preserve">Renewable Energy Usage:</w:t>
      </w:r>
      <w:r>
        <w:t xml:space="preserve"> </w:t>
      </w:r>
      <w:r>
        <w:t xml:space="preserve">60% renewable electricity (Illustrative, based on `ldtyjyuwvf`)</w:t>
      </w:r>
    </w:p>
    <w:p>
      <w:pPr>
        <w:numPr>
          <w:ilvl w:val="0"/>
          <w:numId w:val="1003"/>
        </w:numPr>
        <w:pStyle w:val="Compact"/>
      </w:pPr>
      <w:r>
        <w:rPr>
          <w:bCs/>
          <w:b/>
        </w:rPr>
        <w:t xml:space="preserve">Grid Electricity Emission Factor (China):</w:t>
      </w:r>
      <w:r>
        <w:t xml:space="preserve"> </w:t>
      </w:r>
      <w:r>
        <w:t xml:space="preserve">Assumed 0.60 kg CO2e/kWh (Average for China, referencing IEA/MEE data).</w:t>
      </w:r>
    </w:p>
    <w:bookmarkEnd w:id="27"/>
    <w:bookmarkStart w:id="30" w:name="X1b4802a216821e8748889beea803ad8647bea41"/>
    <w:p>
      <w:pPr>
        <w:pStyle w:val="Heading3"/>
      </w:pPr>
      <w:r>
        <w:t xml:space="preserve">Logistics Data (Illustrative Data based on \'Select Mode\', \'msgpzvtljs\', \'Delivery Type\')</w:t>
      </w:r>
    </w:p>
    <w:bookmarkStart w:id="28" w:name="Xda7cd503be5502f1e9a55d3f86b2e2496ba9763"/>
    <w:p>
      <w:pPr>
        <w:pStyle w:val="Heading4"/>
      </w:pPr>
      <w:r>
        <w:t xml:space="preserve">Upstream Transport (Materials to Factory in China)</w:t>
      </w:r>
    </w:p>
    <w:p>
      <w:pPr>
        <w:numPr>
          <w:ilvl w:val="0"/>
          <w:numId w:val="1004"/>
        </w:numPr>
        <w:pStyle w:val="Compact"/>
      </w:pPr>
      <w:r>
        <w:rPr>
          <w:bCs/>
          <w:b/>
        </w:rPr>
        <w:t xml:space="preserve">Mode:</w:t>
      </w:r>
      <w:r>
        <w:t xml:space="preserve"> </w:t>
      </w:r>
      <w:r>
        <w:t xml:space="preserve">Sea Freight (Bulk/Container), then Road Freight (Heavy Lorry)</w:t>
      </w:r>
    </w:p>
    <w:p>
      <w:pPr>
        <w:numPr>
          <w:ilvl w:val="0"/>
          <w:numId w:val="1004"/>
        </w:numPr>
        <w:pStyle w:val="Compact"/>
      </w:pPr>
      <w:r>
        <w:rPr>
          <w:bCs/>
          <w:b/>
        </w:rPr>
        <w:t xml:space="preserve">Distance (Sea Freight):</w:t>
      </w:r>
      <w:r>
        <w:t xml:space="preserve"> </w:t>
      </w:r>
      <w:r>
        <w:t xml:space="preserve">15,000 km (Europe to China)</w:t>
      </w:r>
    </w:p>
    <w:p>
      <w:pPr>
        <w:numPr>
          <w:ilvl w:val="0"/>
          <w:numId w:val="1004"/>
        </w:numPr>
        <w:pStyle w:val="Compact"/>
      </w:pPr>
      <w:r>
        <w:rPr>
          <w:bCs/>
          <w:b/>
        </w:rPr>
        <w:t xml:space="preserve">Distance (Road Freight in China):</w:t>
      </w:r>
      <w:r>
        <w:t xml:space="preserve"> </w:t>
      </w:r>
      <w:r>
        <w:t xml:space="preserve">500 km</w:t>
      </w:r>
    </w:p>
    <w:p>
      <w:pPr>
        <w:numPr>
          <w:ilvl w:val="0"/>
          <w:numId w:val="1004"/>
        </w:numPr>
        <w:pStyle w:val="Compact"/>
      </w:pPr>
      <w:r>
        <w:rPr>
          <w:bCs/>
          <w:b/>
        </w:rPr>
        <w:t xml:space="preserve">Assumed Weight of Materials per Unit:</w:t>
      </w:r>
      <w:r>
        <w:t xml:space="preserve"> </w:t>
      </w:r>
      <w:r>
        <w:t xml:space="preserve">0.4 kg (from BOM total weight)</w:t>
      </w:r>
    </w:p>
    <w:p>
      <w:pPr>
        <w:numPr>
          <w:ilvl w:val="0"/>
          <w:numId w:val="1004"/>
        </w:numPr>
        <w:pStyle w:val="Compact"/>
      </w:pPr>
      <w:r>
        <w:rPr>
          <w:bCs/>
          <w:b/>
        </w:rPr>
        <w:t xml:space="preserve">Emission Factor (Sea Freight):</w:t>
      </w:r>
      <w:r>
        <w:t xml:space="preserve"> </w:t>
      </w:r>
      <w:r>
        <w:t xml:space="preserve">0.015 kg CO2e/tonne-km (Illustrative, referencing Ecoinvent data).</w:t>
      </w:r>
    </w:p>
    <w:p>
      <w:pPr>
        <w:numPr>
          <w:ilvl w:val="0"/>
          <w:numId w:val="1004"/>
        </w:numPr>
        <w:pStyle w:val="Compact"/>
      </w:pPr>
      <w:r>
        <w:rPr>
          <w:bCs/>
          <w:b/>
        </w:rPr>
        <w:t xml:space="preserve">Emission Factor (Road Freight - Heavy Lorry, China):</w:t>
      </w:r>
      <w:r>
        <w:t xml:space="preserve"> </w:t>
      </w:r>
      <w:r>
        <w:t xml:space="preserve">0.10 kg CO2e/tonne-km (Illustrative, referencing Ecoinvent/HBEFA data).</w:t>
      </w:r>
    </w:p>
    <w:bookmarkEnd w:id="28"/>
    <w:bookmarkStart w:id="29" w:name="X64567ad8f610c5ad362d8c61630eeb6d2ec79ca"/>
    <w:p>
      <w:pPr>
        <w:pStyle w:val="Heading4"/>
      </w:pPr>
      <w:r>
        <w:t xml:space="preserve">Downstream Transport (Factory in China to Customer in Europe)</w:t>
      </w:r>
    </w:p>
    <w:p>
      <w:pPr>
        <w:numPr>
          <w:ilvl w:val="0"/>
          <w:numId w:val="1005"/>
        </w:numPr>
        <w:pStyle w:val="Compact"/>
      </w:pPr>
      <w:r>
        <w:rPr>
          <w:bCs/>
          <w:b/>
        </w:rPr>
        <w:t xml:space="preserve">Mode:</w:t>
      </w:r>
      <w:r>
        <w:t xml:space="preserve"> </w:t>
      </w:r>
      <w:r>
        <w:t xml:space="preserve">Sea Freight (Container) to Europe Hub, then Road Freight (Heavy Lorry) to Distribution Center, then Last-Mile Delivery (Parcel Post/Courier) to end customer.</w:t>
      </w:r>
    </w:p>
    <w:p>
      <w:pPr>
        <w:numPr>
          <w:ilvl w:val="0"/>
          <w:numId w:val="1005"/>
        </w:numPr>
        <w:pStyle w:val="Compact"/>
      </w:pPr>
      <w:r>
        <w:rPr>
          <w:bCs/>
          <w:b/>
        </w:rPr>
        <w:t xml:space="preserve">Distance (Sea Freight):</w:t>
      </w:r>
      <w:r>
        <w:t xml:space="preserve"> </w:t>
      </w:r>
      <w:r>
        <w:t xml:space="preserve">15,000 km (China to Europe)</w:t>
      </w:r>
    </w:p>
    <w:p>
      <w:pPr>
        <w:numPr>
          <w:ilvl w:val="0"/>
          <w:numId w:val="1005"/>
        </w:numPr>
        <w:pStyle w:val="Compact"/>
      </w:pPr>
      <w:r>
        <w:rPr>
          <w:bCs/>
          <w:b/>
        </w:rPr>
        <w:t xml:space="preserve">Distance (Road Freight to DC in Europe):</w:t>
      </w:r>
      <w:r>
        <w:t xml:space="preserve"> </w:t>
      </w:r>
      <w:r>
        <w:t xml:space="preserve">1,000 km</w:t>
      </w:r>
    </w:p>
    <w:p>
      <w:pPr>
        <w:numPr>
          <w:ilvl w:val="0"/>
          <w:numId w:val="1005"/>
        </w:numPr>
        <w:pStyle w:val="Compact"/>
      </w:pPr>
      <w:r>
        <w:rPr>
          <w:bCs/>
          <w:b/>
        </w:rPr>
        <w:t xml:space="preserve">Distance (Last-Mile Delivery):</w:t>
      </w:r>
      <w:r>
        <w:t xml:space="preserve"> </w:t>
      </w:r>
      <w:r>
        <w:t xml:space="preserve">50 km (Illustrative, for `msgpzvtljs`)</w:t>
      </w:r>
    </w:p>
    <w:p>
      <w:pPr>
        <w:numPr>
          <w:ilvl w:val="0"/>
          <w:numId w:val="1005"/>
        </w:numPr>
        <w:pStyle w:val="Compact"/>
      </w:pPr>
      <w:r>
        <w:rPr>
          <w:bCs/>
          <w:b/>
        </w:rPr>
        <w:t xml:space="preserve">Last-Mile Delivery Channel:</w:t>
      </w:r>
      <w:r>
        <w:t xml:space="preserve"> </w:t>
      </w:r>
      <w:r>
        <w:t xml:space="preserve">Parcel Post/Courier Service (Illustrative, for `Delivery Type`)</w:t>
      </w:r>
    </w:p>
    <w:p>
      <w:pPr>
        <w:numPr>
          <w:ilvl w:val="0"/>
          <w:numId w:val="1005"/>
        </w:numPr>
        <w:pStyle w:val="Compact"/>
      </w:pPr>
      <w:r>
        <w:rPr>
          <w:bCs/>
          <w:b/>
        </w:rPr>
        <w:t xml:space="preserve">Assumed Product Weight with Packaging:</w:t>
      </w:r>
      <w:r>
        <w:t xml:space="preserve"> </w:t>
      </w:r>
      <w:r>
        <w:t xml:space="preserve">0.5 kg (Illustrative)</w:t>
      </w:r>
    </w:p>
    <w:p>
      <w:pPr>
        <w:numPr>
          <w:ilvl w:val="0"/>
          <w:numId w:val="1005"/>
        </w:numPr>
        <w:pStyle w:val="Compact"/>
      </w:pPr>
      <w:r>
        <w:rPr>
          <w:bCs/>
          <w:b/>
        </w:rPr>
        <w:t xml:space="preserve">Emission Factor (Sea Freight):</w:t>
      </w:r>
      <w:r>
        <w:t xml:space="preserve"> </w:t>
      </w:r>
      <w:r>
        <w:t xml:space="preserve">0.015 kg CO2e/tonne-km (Illustrative).</w:t>
      </w:r>
    </w:p>
    <w:p>
      <w:pPr>
        <w:numPr>
          <w:ilvl w:val="0"/>
          <w:numId w:val="1005"/>
        </w:numPr>
        <w:pStyle w:val="Compact"/>
      </w:pPr>
      <w:r>
        <w:rPr>
          <w:bCs/>
          <w:b/>
        </w:rPr>
        <w:t xml:space="preserve">Emission Factor (Road Freight - Heavy Lorry, Europe):</w:t>
      </w:r>
      <w:r>
        <w:t xml:space="preserve"> </w:t>
      </w:r>
      <w:r>
        <w:t xml:space="preserve">0.08 kg CO2e/tonne-km (Illustrative, referencing Ecoinvent/HBEFA data).</w:t>
      </w:r>
    </w:p>
    <w:p>
      <w:pPr>
        <w:numPr>
          <w:ilvl w:val="0"/>
          <w:numId w:val="1005"/>
        </w:numPr>
        <w:pStyle w:val="Compact"/>
      </w:pPr>
      <w:r>
        <w:rPr>
          <w:bCs/>
          <w:b/>
        </w:rPr>
        <w:t xml:space="preserve">Emission Factor (Last-Mile Parcel Delivery):</w:t>
      </w:r>
      <w:r>
        <w:t xml:space="preserve"> </w:t>
      </w:r>
      <w:r>
        <w:t xml:space="preserve">0.30 kg CO2e/kg (Illustrative, based on typical courier service efficiency for small parcels, rather than tonne-km, adapting from DEFRA spend-based factors for postal services).</w:t>
      </w:r>
    </w:p>
    <w:bookmarkEnd w:id="29"/>
    <w:bookmarkEnd w:id="30"/>
    <w:bookmarkStart w:id="31" w:name="X7773c19a4261aa18e1d05e66472283c7212f606"/>
    <w:p>
      <w:pPr>
        <w:pStyle w:val="Heading3"/>
      </w:pPr>
      <w:r>
        <w:t xml:space="preserve">Use Phase Data (Illustrative Data based on \'ostzvfwzjr\', \'nskiyrsiek\')</w:t>
      </w:r>
    </w:p>
    <w:p>
      <w:pPr>
        <w:numPr>
          <w:ilvl w:val="0"/>
          <w:numId w:val="1006"/>
        </w:numPr>
        <w:pStyle w:val="Compact"/>
      </w:pPr>
      <w:r>
        <w:rPr>
          <w:bCs/>
          <w:b/>
        </w:rPr>
        <w:t xml:space="preserve">Product Lifespan:</w:t>
      </w:r>
      <w:r>
        <w:t xml:space="preserve"> </w:t>
      </w:r>
      <w:r>
        <w:t xml:space="preserve">3 years (1095 days) (Illustrative, based on `ostzvfwzjr`)</w:t>
      </w:r>
    </w:p>
    <w:p>
      <w:pPr>
        <w:numPr>
          <w:ilvl w:val="0"/>
          <w:numId w:val="1006"/>
        </w:numPr>
        <w:pStyle w:val="Compact"/>
      </w:pPr>
      <w:r>
        <w:rPr>
          <w:bCs/>
          <w:b/>
        </w:rPr>
        <w:t xml:space="preserve">Energy Consumption in Use:</w:t>
      </w:r>
      <w:r>
        <w:t xml:space="preserve"> </w:t>
      </w:r>
      <w:r>
        <w:t xml:space="preserve">0.05 kWh/day (Illustrative, based on `nskiyrsiek`)</w:t>
      </w:r>
    </w:p>
    <w:p>
      <w:pPr>
        <w:numPr>
          <w:ilvl w:val="0"/>
          <w:numId w:val="1006"/>
        </w:numPr>
        <w:pStyle w:val="Compact"/>
      </w:pPr>
      <w:r>
        <w:rPr>
          <w:bCs/>
          <w:b/>
        </w:rPr>
        <w:t xml:space="preserve">Electricity Grid Emission Factor (Europe - average):</w:t>
      </w:r>
      <w:r>
        <w:t xml:space="preserve"> </w:t>
      </w:r>
      <w:r>
        <w:t xml:space="preserve">Assumed 0.25 kg CO2e/kWh (Illustrative, average European grid mix).</w:t>
      </w:r>
    </w:p>
    <w:bookmarkEnd w:id="31"/>
    <w:bookmarkStart w:id="32" w:name="Xf6473ffdcbdc8be81dce158a7c7b8c088951776"/>
    <w:p>
      <w:pPr>
        <w:pStyle w:val="Heading3"/>
      </w:pPr>
      <w:r>
        <w:t xml:space="preserve">End-of-Life (EoL) Scenarios (Illustrative Data based on \'vvknrmpxmp\', \'trqylkmykd\')</w:t>
      </w:r>
    </w:p>
    <w:p>
      <w:pPr>
        <w:numPr>
          <w:ilvl w:val="0"/>
          <w:numId w:val="1007"/>
        </w:numPr>
        <w:pStyle w:val="Compact"/>
      </w:pPr>
      <w:r>
        <w:rPr>
          <w:bCs/>
          <w:b/>
        </w:rPr>
        <w:t xml:space="preserve">Recyclability Percentage:</w:t>
      </w:r>
      <w:r>
        <w:t xml:space="preserve"> </w:t>
      </w:r>
      <w:r>
        <w:t xml:space="preserve">70% (Illustrative, based on `vvknrmpxmp`)</w:t>
      </w:r>
    </w:p>
    <w:p>
      <w:pPr>
        <w:numPr>
          <w:ilvl w:val="0"/>
          <w:numId w:val="1007"/>
        </w:numPr>
        <w:pStyle w:val="Compact"/>
      </w:pPr>
      <w:r>
        <w:rPr>
          <w:bCs/>
          <w:b/>
        </w:rPr>
        <w:t xml:space="preserve">Circular/Take-back Programs:</w:t>
      </w:r>
      <w:r>
        <w:t xml:space="preserve"> </w:t>
      </w:r>
      <w:r>
        <w:t xml:space="preserve">Yes, company-run take-back scheme for proper end-of-life management (Illustrative, based on `trqylkmykd`)</w:t>
      </w:r>
    </w:p>
    <w:p>
      <w:pPr>
        <w:numPr>
          <w:ilvl w:val="0"/>
          <w:numId w:val="1007"/>
        </w:numPr>
        <w:pStyle w:val="Compact"/>
      </w:pPr>
      <w:r>
        <w:rPr>
          <w:bCs/>
          <w:b/>
        </w:rPr>
        <w:t xml:space="preserve">Disposal Scenarios:</w:t>
      </w:r>
      <w:r>
        <w:t xml:space="preserve"> </w:t>
      </w:r>
      <w:r>
        <w:t xml:space="preserve">70% Recycled, 30% Landfilled (based on recyclability and assuming remaining waste goes to landfill).</w:t>
      </w:r>
    </w:p>
    <w:p>
      <w:pPr>
        <w:numPr>
          <w:ilvl w:val="0"/>
          <w:numId w:val="1007"/>
        </w:numPr>
        <w:pStyle w:val="Compact"/>
      </w:pPr>
      <w:r>
        <w:rPr>
          <w:bCs/>
          <w:b/>
        </w:rPr>
        <w:t xml:space="preserve">Emission Factor (Landfill):</w:t>
      </w:r>
      <w:r>
        <w:t xml:space="preserve"> </w:t>
      </w:r>
      <w:r>
        <w:t xml:space="preserve">0.05 kg CO2e/kg (Illustrative, for mixed waste, referencing Ecoinvent/IPCC).</w:t>
      </w:r>
    </w:p>
    <w:p>
      <w:pPr>
        <w:numPr>
          <w:ilvl w:val="0"/>
          <w:numId w:val="1007"/>
        </w:numPr>
        <w:pStyle w:val="Compact"/>
      </w:pPr>
      <w:r>
        <w:rPr>
          <w:bCs/>
          <w:b/>
        </w:rPr>
        <w:t xml:space="preserve">Emission Factor (Recycling Process):</w:t>
      </w:r>
      <w:r>
        <w:t xml:space="preserve"> </w:t>
      </w:r>
      <w:r>
        <w:t xml:space="preserve">Assumed 0.02 kg CO2e/kg (Illustrative, for collection &amp; sorting process emissions, specific material recycling would have its own impact/credit).</w:t>
      </w:r>
    </w:p>
    <w:p>
      <w:r>
        <w:pict>
          <v:rect style="width:0;height:1.5pt" o:hralign="center" o:hrstd="t" o:hr="t"/>
        </w:pict>
      </w:r>
    </w:p>
    <w:bookmarkEnd w:id="32"/>
    <w:bookmarkEnd w:id="33"/>
    <w:bookmarkStart w:id="43" w:name="Xb404f6bea4a0013006ec7a9103609d9ea6643c1"/>
    <w:p>
      <w:pPr>
        <w:pStyle w:val="Heading2"/>
      </w:pPr>
      <w:r>
        <w:t xml:space="preserve">4. Calculate Emissions (Activity * Emission Factor = CO2e)</w:t>
      </w:r>
    </w:p>
    <w:p>
      <w:pPr>
        <w:pStyle w:val="FirstParagraph"/>
      </w:pPr>
      <w:r>
        <w:t xml:space="preserve">This section details the calculation of GHG emissions for each lifecycle stage, categorized according to the GHG Protocol\'s Scope 1, 2, and 3. All emissions are reported in kilograms of CO2 equivalents (kg CO2e).</w:t>
      </w:r>
    </w:p>
    <w:bookmarkStart w:id="34" w:name="X1198c8af25dd1a2ebffa686809674f976343a37"/>
    <w:p>
      <w:pPr>
        <w:pStyle w:val="Heading3"/>
      </w:pPr>
      <w:r>
        <w:t xml:space="preserve">Material Acquisition &amp; Pre-processing (Scope 3 - Upstream)</w:t>
      </w:r>
    </w:p>
    <w:p>
      <w:pPr>
        <w:pStyle w:val="FirstParagraph"/>
      </w:pPr>
      <w:r>
        <w:t xml:space="preserve">Directly taken from the illustrative BOM for okyhwrmend.</w:t>
      </w:r>
    </w:p>
    <w:p>
      <w:pPr>
        <w:numPr>
          <w:ilvl w:val="0"/>
          <w:numId w:val="1008"/>
        </w:numPr>
        <w:pStyle w:val="Compact"/>
      </w:pPr>
      <w:r>
        <w:t xml:space="preserve">Total Material Carbon Footprint:</w:t>
      </w:r>
      <w:r>
        <w:t xml:space="preserve"> </w:t>
      </w:r>
      <w:r>
        <w:rPr>
          <w:bCs/>
          <w:b/>
        </w:rPr>
        <w:t xml:space="preserve">1.649 kg CO2e</w:t>
      </w:r>
    </w:p>
    <w:bookmarkEnd w:id="34"/>
    <w:bookmarkStart w:id="35" w:name="manufacturing-scope-1-scope-2"/>
    <w:p>
      <w:pPr>
        <w:pStyle w:val="Heading3"/>
      </w:pPr>
      <w:r>
        <w:t xml:space="preserve">Manufacturing (Scope 1, Scope 2)</w:t>
      </w:r>
    </w:p>
    <w:p>
      <w:pPr>
        <w:pStyle w:val="FirstParagraph"/>
      </w:pPr>
      <w:r>
        <w:t xml:space="preserve">Assuming the manufacturing facility is in China and ieqqlrknhi does not directly own combustion sources on-site for this product (i.e., it\'s a contract manufacturer), Scope 1 emissions are considered negligible for this product\'s direct manufacturing boundary.</w:t>
      </w:r>
    </w:p>
    <w:p>
      <w:pPr>
        <w:numPr>
          <w:ilvl w:val="0"/>
          <w:numId w:val="1009"/>
        </w:numPr>
        <w:pStyle w:val="Compact"/>
      </w:pPr>
      <w:r>
        <w:rPr>
          <w:bCs/>
          <w:b/>
        </w:rPr>
        <w:t xml:space="preserve">Scope 1 Emissions:</w:t>
      </w:r>
      <w:r>
        <w:t xml:space="preserve"> </w:t>
      </w:r>
      <w:r>
        <w:t xml:space="preserve">0.00 kg CO2e (Assumed negligible for direct product manufacturing in this context)</w:t>
      </w:r>
    </w:p>
    <w:p>
      <w:pPr>
        <w:numPr>
          <w:ilvl w:val="0"/>
          <w:numId w:val="1009"/>
        </w:numPr>
        <w:pStyle w:val="Compact"/>
      </w:pPr>
      <w:r>
        <w:rPr>
          <w:bCs/>
          <w:b/>
        </w:rPr>
        <w:t xml:space="preserve">Scope 2 Emissions (Purchased Electricity):</w:t>
      </w:r>
    </w:p>
    <w:p>
      <w:pPr>
        <w:numPr>
          <w:ilvl w:val="1"/>
          <w:numId w:val="1010"/>
        </w:numPr>
        <w:pStyle w:val="Compact"/>
      </w:pPr>
      <w:r>
        <w:t xml:space="preserve">Total Electricity Required: 5 kWh/unit</w:t>
      </w:r>
    </w:p>
    <w:p>
      <w:pPr>
        <w:numPr>
          <w:ilvl w:val="1"/>
          <w:numId w:val="1010"/>
        </w:numPr>
        <w:pStyle w:val="Compact"/>
      </w:pPr>
      <w:r>
        <w:t xml:space="preserve">Non-renewable portion: 5 kWh * (1 - 0.60) = 2 kWh</w:t>
      </w:r>
    </w:p>
    <w:p>
      <w:pPr>
        <w:numPr>
          <w:ilvl w:val="1"/>
          <w:numId w:val="1010"/>
        </w:numPr>
        <w:pStyle w:val="Compact"/>
      </w:pPr>
      <w:r>
        <w:t xml:space="preserve">Emissions: 2 kWh * 0.60 kg CO2e/kWh = 1.20 kg CO2e</w:t>
      </w:r>
    </w:p>
    <w:p>
      <w:pPr>
        <w:pStyle w:val="FirstParagraph"/>
      </w:pPr>
      <w:r>
        <w:t xml:space="preserve">Total Manufacturing Emissions (Scope 2):</w:t>
      </w:r>
      <w:r>
        <w:t xml:space="preserve"> </w:t>
      </w:r>
      <w:r>
        <w:rPr>
          <w:bCs/>
          <w:b/>
        </w:rPr>
        <w:t xml:space="preserve">1.20 kg CO2e</w:t>
      </w:r>
    </w:p>
    <w:bookmarkEnd w:id="35"/>
    <w:bookmarkStart w:id="38" w:name="transport-scope-3---upstream-downstream"/>
    <w:p>
      <w:pPr>
        <w:pStyle w:val="Heading3"/>
      </w:pPr>
      <w:r>
        <w:t xml:space="preserve">Transport (Scope 3 - Upstream &amp; Downstream)</w:t>
      </w:r>
    </w:p>
    <w:bookmarkStart w:id="36" w:name="upstream-transport-materials-to-factory"/>
    <w:p>
      <w:pPr>
        <w:pStyle w:val="Heading4"/>
      </w:pPr>
      <w:r>
        <w:t xml:space="preserve">Upstream Transport (Materials to Factory)</w:t>
      </w:r>
    </w:p>
    <w:p>
      <w:pPr>
        <w:numPr>
          <w:ilvl w:val="0"/>
          <w:numId w:val="1011"/>
        </w:numPr>
        <w:pStyle w:val="Compact"/>
      </w:pPr>
      <w:r>
        <w:t xml:space="preserve">Sea Freight: (0.4 kg materials / 1000 kg/tonne) * 15,000 km * 0.015 kg CO2e/tonne-km = 0.090 kg CO2e</w:t>
      </w:r>
    </w:p>
    <w:p>
      <w:pPr>
        <w:numPr>
          <w:ilvl w:val="0"/>
          <w:numId w:val="1011"/>
        </w:numPr>
        <w:pStyle w:val="Compact"/>
      </w:pPr>
      <w:r>
        <w:t xml:space="preserve">Road Freight (China): (0.4 kg materials / 1000 kg/tonne) * 500 km * 0.10 kg CO2e/tonne-km = 0.020 kg CO2e</w:t>
      </w:r>
    </w:p>
    <w:p>
      <w:pPr>
        <w:numPr>
          <w:ilvl w:val="0"/>
          <w:numId w:val="1011"/>
        </w:numPr>
        <w:pStyle w:val="Compact"/>
      </w:pPr>
      <w:r>
        <w:rPr>
          <w:bCs/>
          <w:b/>
        </w:rPr>
        <w:t xml:space="preserve">Total Upstream Transport:</w:t>
      </w:r>
      <w:r>
        <w:t xml:space="preserve"> </w:t>
      </w:r>
      <w:r>
        <w:t xml:space="preserve">0.090 + 0.020 =</w:t>
      </w:r>
      <w:r>
        <w:t xml:space="preserve"> </w:t>
      </w:r>
      <w:r>
        <w:rPr>
          <w:bCs/>
          <w:b/>
        </w:rPr>
        <w:t xml:space="preserve">0.110 kg CO2e</w:t>
      </w:r>
    </w:p>
    <w:bookmarkEnd w:id="36"/>
    <w:bookmarkStart w:id="37" w:name="downstream-transport-factory-to-customer"/>
    <w:p>
      <w:pPr>
        <w:pStyle w:val="Heading4"/>
      </w:pPr>
      <w:r>
        <w:t xml:space="preserve">Downstream Transport (Factory to Customer)</w:t>
      </w:r>
    </w:p>
    <w:p>
      <w:pPr>
        <w:numPr>
          <w:ilvl w:val="0"/>
          <w:numId w:val="1012"/>
        </w:numPr>
        <w:pStyle w:val="Compact"/>
      </w:pPr>
      <w:r>
        <w:t xml:space="preserve">Sea Freight: (0.5 kg product / 1000 kg/tonne) * 15,000 km * 0.015 kg CO2e/tonne-km = 0.1125 kg CO2e</w:t>
      </w:r>
    </w:p>
    <w:p>
      <w:pPr>
        <w:numPr>
          <w:ilvl w:val="0"/>
          <w:numId w:val="1012"/>
        </w:numPr>
        <w:pStyle w:val="Compact"/>
      </w:pPr>
      <w:r>
        <w:t xml:space="preserve">Road Freight (Europe): (0.5 kg product / 1000 kg/tonne) * 1,000 km * 0.08 kg CO2e/tonne-km = 0.040 kg CO2e</w:t>
      </w:r>
    </w:p>
    <w:p>
      <w:pPr>
        <w:numPr>
          <w:ilvl w:val="0"/>
          <w:numId w:val="1012"/>
        </w:numPr>
        <w:pStyle w:val="Compact"/>
      </w:pPr>
      <w:r>
        <w:t xml:space="preserve">Last-Mile Delivery: 0.5 kg product * 0.30 kg CO2e/kg = 0.150 kg CO2e</w:t>
      </w:r>
    </w:p>
    <w:p>
      <w:pPr>
        <w:numPr>
          <w:ilvl w:val="0"/>
          <w:numId w:val="1012"/>
        </w:numPr>
        <w:pStyle w:val="Compact"/>
      </w:pPr>
      <w:r>
        <w:rPr>
          <w:bCs/>
          <w:b/>
        </w:rPr>
        <w:t xml:space="preserve">Total Downstream Transport:</w:t>
      </w:r>
      <w:r>
        <w:t xml:space="preserve"> </w:t>
      </w:r>
      <w:r>
        <w:t xml:space="preserve">0.1125 + 0.040 + 0.150 =</w:t>
      </w:r>
      <w:r>
        <w:t xml:space="preserve"> </w:t>
      </w:r>
      <w:r>
        <w:rPr>
          <w:bCs/>
          <w:b/>
        </w:rPr>
        <w:t xml:space="preserve">0.3025 kg CO2e</w:t>
      </w:r>
    </w:p>
    <w:p>
      <w:pPr>
        <w:pStyle w:val="FirstParagraph"/>
      </w:pPr>
      <w:r>
        <w:t xml:space="preserve">Total Transport Emissions (Scope 3):</w:t>
      </w:r>
      <w:r>
        <w:t xml:space="preserve"> </w:t>
      </w:r>
      <w:r>
        <w:rPr>
          <w:bCs/>
          <w:b/>
        </w:rPr>
        <w:t xml:space="preserve">0.4125 kg CO2e</w:t>
      </w:r>
    </w:p>
    <w:bookmarkEnd w:id="37"/>
    <w:bookmarkEnd w:id="38"/>
    <w:bookmarkStart w:id="39" w:name="use-phase-scope-3---downstream"/>
    <w:p>
      <w:pPr>
        <w:pStyle w:val="Heading3"/>
      </w:pPr>
      <w:r>
        <w:t xml:space="preserve">Use Phase (Scope 3 - Downstream)</w:t>
      </w:r>
    </w:p>
    <w:p>
      <w:pPr>
        <w:numPr>
          <w:ilvl w:val="0"/>
          <w:numId w:val="1013"/>
        </w:numPr>
        <w:pStyle w:val="Compact"/>
      </w:pPr>
      <w:r>
        <w:t xml:space="preserve">Total Energy Consumption: 0.05 kWh/day * 1095 days = 54.75 kWh</w:t>
      </w:r>
    </w:p>
    <w:p>
      <w:pPr>
        <w:numPr>
          <w:ilvl w:val="0"/>
          <w:numId w:val="1013"/>
        </w:numPr>
        <w:pStyle w:val="Compact"/>
      </w:pPr>
      <w:r>
        <w:t xml:space="preserve">Emissions: 54.75 kWh * 0.25 kg CO2e/kWh = 13.6875 kg CO2e</w:t>
      </w:r>
    </w:p>
    <w:p>
      <w:pPr>
        <w:pStyle w:val="FirstParagraph"/>
      </w:pPr>
      <w:r>
        <w:t xml:space="preserve">Total Use Phase Emissions (Scope 3):</w:t>
      </w:r>
      <w:r>
        <w:t xml:space="preserve"> </w:t>
      </w:r>
      <w:r>
        <w:rPr>
          <w:bCs/>
          <w:b/>
        </w:rPr>
        <w:t xml:space="preserve">13.6875 kg CO2e</w:t>
      </w:r>
    </w:p>
    <w:bookmarkEnd w:id="39"/>
    <w:bookmarkStart w:id="40" w:name="end-of-life-eol-scope-3---downstream"/>
    <w:p>
      <w:pPr>
        <w:pStyle w:val="Heading3"/>
      </w:pPr>
      <w:r>
        <w:t xml:space="preserve">End-of-Life (EoL) (Scope 3 - Downstream)</w:t>
      </w:r>
    </w:p>
    <w:p>
      <w:pPr>
        <w:numPr>
          <w:ilvl w:val="0"/>
          <w:numId w:val="1014"/>
        </w:numPr>
        <w:pStyle w:val="Compact"/>
      </w:pPr>
      <w:r>
        <w:t xml:space="preserve">Total Product Weight at EoL (with packaging): 0.5 kg</w:t>
      </w:r>
    </w:p>
    <w:p>
      <w:pPr>
        <w:numPr>
          <w:ilvl w:val="0"/>
          <w:numId w:val="1014"/>
        </w:numPr>
        <w:pStyle w:val="Compact"/>
      </w:pPr>
      <w:r>
        <w:t xml:space="preserve">Landfilled portion: 0.5 kg * (1 - 0.70) = 0.15 kg</w:t>
      </w:r>
    </w:p>
    <w:p>
      <w:pPr>
        <w:numPr>
          <w:ilvl w:val="0"/>
          <w:numId w:val="1014"/>
        </w:numPr>
        <w:pStyle w:val="Compact"/>
      </w:pPr>
      <w:r>
        <w:t xml:space="preserve">Recycled portion: 0.5 kg * 0.70 = 0.35 kg</w:t>
      </w:r>
    </w:p>
    <w:p>
      <w:pPr>
        <w:numPr>
          <w:ilvl w:val="0"/>
          <w:numId w:val="1014"/>
        </w:numPr>
        <w:pStyle w:val="Compact"/>
      </w:pPr>
      <w:r>
        <w:t xml:space="preserve">Landfill Emissions: 0.15 kg * 0.05 kg CO2e/kg = 0.0075 kg CO2e</w:t>
      </w:r>
    </w:p>
    <w:p>
      <w:pPr>
        <w:numPr>
          <w:ilvl w:val="0"/>
          <w:numId w:val="1014"/>
        </w:numPr>
        <w:pStyle w:val="Compact"/>
      </w:pPr>
      <w:r>
        <w:t xml:space="preserve">Recycling Process Emissions: 0.35 kg * 0.02 kg CO2e/kg = 0.0070 kg CO2e (Note: This does not include potential avoided emissions from using recycled material, only the process burden).</w:t>
      </w:r>
    </w:p>
    <w:p>
      <w:pPr>
        <w:numPr>
          <w:ilvl w:val="0"/>
          <w:numId w:val="1014"/>
        </w:numPr>
        <w:pStyle w:val="Compact"/>
      </w:pPr>
      <w:r>
        <w:rPr>
          <w:bCs/>
          <w:b/>
        </w:rPr>
        <w:t xml:space="preserve">Total End-of-Life Emissions:</w:t>
      </w:r>
      <w:r>
        <w:t xml:space="preserve"> </w:t>
      </w:r>
      <w:r>
        <w:t xml:space="preserve">0.0075 + 0.0070 =</w:t>
      </w:r>
      <w:r>
        <w:t xml:space="preserve"> </w:t>
      </w:r>
      <w:r>
        <w:rPr>
          <w:bCs/>
          <w:b/>
        </w:rPr>
        <w:t xml:space="preserve">0.0145 kg CO2e</w:t>
      </w:r>
    </w:p>
    <w:p>
      <w:pPr>
        <w:pStyle w:val="FirstParagraph"/>
      </w:pPr>
      <w:r>
        <w:t xml:space="preserve">Total End-of-Life Emissions (Scope 3):</w:t>
      </w:r>
      <w:r>
        <w:t xml:space="preserve"> </w:t>
      </w:r>
      <w:r>
        <w:rPr>
          <w:bCs/>
          <w:b/>
        </w:rPr>
        <w:t xml:space="preserve">0.0145 kg CO2e</w:t>
      </w:r>
    </w:p>
    <w:bookmarkEnd w:id="40"/>
    <w:bookmarkStart w:id="41" w:name="X9b8f96e5fd6ec30b02c91cc11d45f1568d9808c"/>
    <w:p>
      <w:pPr>
        <w:pStyle w:val="Heading3"/>
      </w:pPr>
      <w:r>
        <w:t xml:space="preserve">Summary of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GHG 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1.649</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1.200</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0.110</w:t>
            </w:r>
          </w:p>
        </w:tc>
      </w:tr>
      <w:tr>
        <w:tc>
          <w:tcPr/>
          <w:p>
            <w:pPr>
              <w:pStyle w:val="Compact"/>
              <w:jc w:val="left"/>
            </w:pPr>
            <w:r>
              <w:t xml:space="preserve">Downstream Transport</w:t>
            </w:r>
          </w:p>
        </w:tc>
        <w:tc>
          <w:tcPr/>
          <w:p>
            <w:pPr>
              <w:pStyle w:val="Compact"/>
              <w:jc w:val="left"/>
            </w:pPr>
            <w:r>
              <w:t xml:space="preserve">Scope 3 (Downstream)</w:t>
            </w:r>
          </w:p>
        </w:tc>
        <w:tc>
          <w:tcPr/>
          <w:p>
            <w:pPr>
              <w:pStyle w:val="Compact"/>
              <w:jc w:val="left"/>
            </w:pPr>
            <w:r>
              <w:t xml:space="preserve">0.3025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13.6875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0.0145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16.963 kg CO2e</w:t>
            </w:r>
          </w:p>
        </w:tc>
      </w:tr>
    </w:tbl>
    <w:bookmarkEnd w:id="41"/>
    <w:bookmarkStart w:id="42" w:name="ghg-protocol-scope-breakdown"/>
    <w:p>
      <w:pPr>
        <w:pStyle w:val="Heading3"/>
      </w:pPr>
      <w:r>
        <w:t xml:space="preserve">GHG Protocol Scope Breakdown</w:t>
      </w:r>
    </w:p>
    <w:p>
      <w:pPr>
        <w:numPr>
          <w:ilvl w:val="0"/>
          <w:numId w:val="1015"/>
        </w:numPr>
        <w:pStyle w:val="Compact"/>
      </w:pPr>
      <w:r>
        <w:rPr>
          <w:bCs/>
          <w:b/>
        </w:rPr>
        <w:t xml:space="preserve">Total Scope 1 Emissions:</w:t>
      </w:r>
      <w:r>
        <w:t xml:space="preserve"> </w:t>
      </w:r>
      <w:r>
        <w:t xml:space="preserve">0.00 kg CO2e</w:t>
      </w:r>
    </w:p>
    <w:p>
      <w:pPr>
        <w:numPr>
          <w:ilvl w:val="0"/>
          <w:numId w:val="1015"/>
        </w:numPr>
        <w:pStyle w:val="Compact"/>
      </w:pPr>
      <w:r>
        <w:rPr>
          <w:bCs/>
          <w:b/>
        </w:rPr>
        <w:t xml:space="preserve">Total Scope 2 Emissions:</w:t>
      </w:r>
      <w:r>
        <w:t xml:space="preserve"> </w:t>
      </w:r>
      <w:r>
        <w:t xml:space="preserve">1.20 kg CO2e</w:t>
      </w:r>
    </w:p>
    <w:p>
      <w:pPr>
        <w:numPr>
          <w:ilvl w:val="0"/>
          <w:numId w:val="1015"/>
        </w:numPr>
        <w:pStyle w:val="Compact"/>
      </w:pPr>
      <w:r>
        <w:rPr>
          <w:bCs/>
          <w:b/>
        </w:rPr>
        <w:t xml:space="preserve">Total Scope 3 Emissions:</w:t>
      </w:r>
      <w:r>
        <w:t xml:space="preserve"> </w:t>
      </w:r>
      <w:r>
        <w:t xml:space="preserve">(1.649 + 0.110 + 0.3025 + 13.6875 + 0.0145) = 15.7635 kg CO2e</w:t>
      </w:r>
    </w:p>
    <w:p>
      <w:pPr>
        <w:numPr>
          <w:ilvl w:val="0"/>
          <w:numId w:val="1015"/>
        </w:numPr>
        <w:pStyle w:val="Compact"/>
      </w:pPr>
      <w:r>
        <w:rPr>
          <w:bCs/>
          <w:b/>
        </w:rPr>
        <w:t xml:space="preserve">Total PCF:</w:t>
      </w:r>
      <w:r>
        <w:t xml:space="preserve"> </w:t>
      </w:r>
      <w:r>
        <w:t xml:space="preserve">0.00 + 1.20 + 15.7635 =</w:t>
      </w:r>
      <w:r>
        <w:t xml:space="preserve"> </w:t>
      </w:r>
      <w:r>
        <w:rPr>
          <w:bCs/>
          <w:b/>
        </w:rPr>
        <w:t xml:space="preserve">16.9635 kg CO2e</w:t>
      </w:r>
    </w:p>
    <w:p>
      <w:pPr>
        <w:pStyle w:val="FirstParagraph"/>
      </w:pPr>
      <w:r>
        <w:t xml:space="preserve">The Scope 3 emissions constitute approximately 92.9% of the total PCF, which is a significant portion, typical for manufactured goods with an energy-intensive use phase. This figure is close to the 2026 requirement of at least 95% coverage for Scope 3 emissions, indicating a comprehensive analysis of the value chain.</w:t>
      </w:r>
    </w:p>
    <w:p>
      <w:r>
        <w:pict>
          <v:rect style="width:0;height:1.5pt" o:hralign="center" o:hrstd="t" o:hr="t"/>
        </w:pict>
      </w:r>
    </w:p>
    <w:bookmarkEnd w:id="42"/>
    <w:bookmarkEnd w:id="43"/>
    <w:bookmarkStart w:id="49" w:name="review-report"/>
    <w:p>
      <w:pPr>
        <w:pStyle w:val="Heading2"/>
      </w:pPr>
      <w:r>
        <w:t xml:space="preserve">5. Review &amp; Report</w:t>
      </w:r>
    </w:p>
    <w:bookmarkStart w:id="44" w:name="emission-hotspots"/>
    <w:p>
      <w:pPr>
        <w:pStyle w:val="Heading3"/>
      </w:pPr>
      <w:r>
        <w:t xml:space="preserve">Emission Hotspots</w:t>
      </w:r>
    </w:p>
    <w:p>
      <w:pPr>
        <w:pStyle w:val="FirstParagraph"/>
      </w:pPr>
      <w:r>
        <w:t xml:space="preserve">The analysis reveals the following key emission hotspots for okyhwrmend:</w:t>
      </w:r>
    </w:p>
    <w:p>
      <w:pPr>
        <w:numPr>
          <w:ilvl w:val="0"/>
          <w:numId w:val="1016"/>
        </w:numPr>
        <w:pStyle w:val="Compact"/>
      </w:pPr>
      <w:r>
        <w:rPr>
          <w:bCs/>
          <w:b/>
        </w:rPr>
        <w:t xml:space="preserve">Use Phase (80.7%):</w:t>
      </w:r>
      <w:r>
        <w:t xml:space="preserve"> </w:t>
      </w:r>
      <w:r>
        <w:t xml:space="preserve">This is overwhelmingly the largest contributor to the product\'s carbon footprint, primarily due to the ongoing electricity consumption over its 3-year lifespan. This highlights the critical importance of energy efficiency during product design and educating consumers on sustainable usage.</w:t>
      </w:r>
    </w:p>
    <w:p>
      <w:pPr>
        <w:numPr>
          <w:ilvl w:val="0"/>
          <w:numId w:val="1016"/>
        </w:numPr>
        <w:pStyle w:val="Compact"/>
      </w:pPr>
      <w:r>
        <w:rPr>
          <w:bCs/>
          <w:b/>
        </w:rPr>
        <w:t xml:space="preserve">Material Acquisition &amp; Pre-processing (9.7%):</w:t>
      </w:r>
      <w:r>
        <w:t xml:space="preserve"> </w:t>
      </w:r>
      <w:r>
        <w:t xml:space="preserve">The raw materials, particularly plastics and electronic components, contribute a notable portion of the upstream emissions. Focusing on lower-carbon alternative materials, increasing recycled content, and engaging with suppliers on their manufacturing footprint can reduce this impact.</w:t>
      </w:r>
    </w:p>
    <w:p>
      <w:pPr>
        <w:numPr>
          <w:ilvl w:val="0"/>
          <w:numId w:val="1016"/>
        </w:numPr>
        <w:pStyle w:val="Compact"/>
      </w:pPr>
      <w:r>
        <w:rPr>
          <w:bCs/>
          <w:b/>
        </w:rPr>
        <w:t xml:space="preserve">Manufacturing (7.1%):</w:t>
      </w:r>
      <w:r>
        <w:t xml:space="preserve"> </w:t>
      </w:r>
      <w:r>
        <w:t xml:space="preserve">While a smaller percentage, the energy consumed during manufacturing is still a significant hotspot. The assumed 60% renewable energy usage already mitigates a large portion; further increasing renewable energy adoption or improving manufacturing efficiency would yield benefits.</w:t>
      </w:r>
    </w:p>
    <w:p>
      <w:pPr>
        <w:numPr>
          <w:ilvl w:val="0"/>
          <w:numId w:val="1016"/>
        </w:numPr>
        <w:pStyle w:val="Compact"/>
      </w:pPr>
      <w:r>
        <w:rPr>
          <w:bCs/>
          <w:b/>
        </w:rPr>
        <w:t xml:space="preserve">Transport (2.4%):</w:t>
      </w:r>
      <w:r>
        <w:t xml:space="preserve"> </w:t>
      </w:r>
      <w:r>
        <w:t xml:space="preserve">Both upstream and downstream logistics contribute, with sea freight having a lower intensity but high distance, and last-mile delivery being more intensive per kg. Optimizing logistics, exploring cleaner transport modes, and localizing supply chains could reduce these emissions.</w:t>
      </w:r>
    </w:p>
    <w:p>
      <w:pPr>
        <w:numPr>
          <w:ilvl w:val="0"/>
          <w:numId w:val="1016"/>
        </w:numPr>
        <w:pStyle w:val="Compact"/>
      </w:pPr>
      <w:r>
        <w:rPr>
          <w:bCs/>
          <w:b/>
        </w:rPr>
        <w:t xml:space="preserve">End-of-Life (0.1%):</w:t>
      </w:r>
      <w:r>
        <w:t xml:space="preserve"> </w:t>
      </w:r>
      <w:r>
        <w:t xml:space="preserve">While comparatively small in this analysis, the impact of end-of-life depends heavily on actual disposal practices and the circularity of materials. The implemented take-back program and high recyclability percentage help mitigate this impact.</w:t>
      </w:r>
    </w:p>
    <w:bookmarkEnd w:id="44"/>
    <w:bookmarkStart w:id="45" w:name="reliability-and-limitations"/>
    <w:p>
      <w:pPr>
        <w:pStyle w:val="Heading3"/>
      </w:pPr>
      <w:r>
        <w:t xml:space="preserve">Reliability and Limitations</w:t>
      </w:r>
    </w:p>
    <w:p>
      <w:pPr>
        <w:pStyle w:val="FirstParagraph"/>
      </w:pPr>
      <w:r>
        <w:t xml:space="preserve">The reliability of this PCF analysis is contingent upon the following:</w:t>
      </w:r>
    </w:p>
    <w:p>
      <w:pPr>
        <w:numPr>
          <w:ilvl w:val="0"/>
          <w:numId w:val="1017"/>
        </w:numPr>
        <w:pStyle w:val="Compact"/>
      </w:pPr>
      <w:r>
        <w:rPr>
          <w:bCs/>
          <w:b/>
        </w:rPr>
        <w:t xml:space="preserve">Illustrative Data:</w:t>
      </w:r>
      <w:r>
        <w:t xml:space="preserve"> </w:t>
      </w:r>
      <w:r>
        <w:t xml:space="preserve">A significant portion of the data (BOM specifics, transport, energy, lifespan, EoL) was provided as placeholders, necessitating the use of illustrative, yet realistic, assumptions. Actual emissions may vary with primary, site-specific data from ieqqlrknhi and its supply chain partners.</w:t>
      </w:r>
    </w:p>
    <w:p>
      <w:pPr>
        <w:numPr>
          <w:ilvl w:val="0"/>
          <w:numId w:val="1017"/>
        </w:numPr>
        <w:pStyle w:val="Compact"/>
      </w:pPr>
      <w:r>
        <w:rPr>
          <w:bCs/>
          <w:b/>
        </w:rPr>
        <w:t xml:space="preserve">Emission Factors:</w:t>
      </w:r>
      <w:r>
        <w:t xml:space="preserve"> </w:t>
      </w:r>
      <w:r>
        <w:t xml:space="preserve">Industry-average emission factors from databases like Ecoinvent and DEFRA have been used. While robust, these may not perfectly reflect the specific operational efficiencies or energy mixes of all involved entities.</w:t>
      </w:r>
    </w:p>
    <w:p>
      <w:pPr>
        <w:numPr>
          <w:ilvl w:val="0"/>
          <w:numId w:val="1017"/>
        </w:numPr>
        <w:pStyle w:val="Compact"/>
      </w:pPr>
      <w:r>
        <w:rPr>
          <w:bCs/>
          <w:b/>
        </w:rPr>
        <w:t xml:space="preserve">System Boundary:</w:t>
      </w:r>
      <w:r>
        <w:t xml:space="preserve"> </w:t>
      </w:r>
      <w:r>
        <w:t xml:space="preserve">The \'factory_gate\' focus for manufacturing emissions, combined with cradle-to-grave Scope 3, provides a comprehensive view. However, the exact boundaries of each Scope 3 category can be complex, and some minor emissions sources may have been excluded if not deemed material, striving for the 95% coverage.</w:t>
      </w:r>
    </w:p>
    <w:p>
      <w:pPr>
        <w:numPr>
          <w:ilvl w:val="0"/>
          <w:numId w:val="1017"/>
        </w:numPr>
        <w:pStyle w:val="Compact"/>
      </w:pPr>
      <w:r>
        <w:rPr>
          <w:bCs/>
          <w:b/>
        </w:rPr>
        <w:t xml:space="preserve">LSR Standard:</w:t>
      </w:r>
      <w:r>
        <w:t xml:space="preserve"> </w:t>
      </w:r>
      <w:r>
        <w:t xml:space="preserve">The 2026 LSR Standard for land use and carbon removals has been acknowledged. While direct land use change for the product itself is likely minimal, comprehensive data for raw material extraction\'s land impacts would further refine upstream Scope 3 calculations.</w:t>
      </w:r>
    </w:p>
    <w:bookmarkEnd w:id="45"/>
    <w:bookmarkStart w:id="48" w:name="recommendations-for-ieqqlrknhi"/>
    <w:p>
      <w:pPr>
        <w:pStyle w:val="Heading3"/>
      </w:pPr>
      <w:r>
        <w:t xml:space="preserve">Recommendations for ieqqlrknhi</w:t>
      </w:r>
    </w:p>
    <w:p>
      <w:pPr>
        <w:numPr>
          <w:ilvl w:val="0"/>
          <w:numId w:val="1018"/>
        </w:numPr>
        <w:pStyle w:val="Compact"/>
      </w:pPr>
      <w:r>
        <w:rPr>
          <w:bCs/>
          <w:b/>
        </w:rPr>
        <w:t xml:space="preserve">Optimize Use Phase:</w:t>
      </w:r>
      <w:r>
        <w:t xml:space="preserve"> </w:t>
      </w:r>
      <w:r>
        <w:t xml:space="preserve">Invest in R&amp;D for highly energy-efficient product design. Explore "sleep" modes, smart energy management, and lower power components. Provide clear user guidance on energy-saving practices.</w:t>
      </w:r>
    </w:p>
    <w:p>
      <w:pPr>
        <w:numPr>
          <w:ilvl w:val="0"/>
          <w:numId w:val="1018"/>
        </w:numPr>
        <w:pStyle w:val="Compact"/>
      </w:pPr>
      <w:r>
        <w:rPr>
          <w:bCs/>
          <w:b/>
        </w:rPr>
        <w:t xml:space="preserve">Material Decarbonization:</w:t>
      </w:r>
      <w:r>
        <w:t xml:space="preserve"> </w:t>
      </w:r>
      <w:r>
        <w:t xml:space="preserve">Actively pursue sustainable material sourcing. Investigate recycled content plastics (e.g., post-consumer recycled ABS), bio-based materials, and metals with lower embodied carbon. Engage with suppliers to obtain primary emission data for BOM components.</w:t>
      </w:r>
    </w:p>
    <w:p>
      <w:pPr>
        <w:numPr>
          <w:ilvl w:val="0"/>
          <w:numId w:val="1018"/>
        </w:numPr>
        <w:pStyle w:val="Compact"/>
      </w:pPr>
      <w:r>
        <w:rPr>
          <w:bCs/>
          <w:b/>
        </w:rPr>
        <w:t xml:space="preserve">Enhance Manufacturing Efficiency:</w:t>
      </w:r>
      <w:r>
        <w:t xml:space="preserve"> </w:t>
      </w:r>
      <w:r>
        <w:t xml:space="preserve">Explore opportunities to increase renewable energy procurement beyond 60% at manufacturing facilities. Implement energy efficiency measures in production processes.</w:t>
      </w:r>
    </w:p>
    <w:p>
      <w:pPr>
        <w:numPr>
          <w:ilvl w:val="0"/>
          <w:numId w:val="1018"/>
        </w:numPr>
        <w:pStyle w:val="Compact"/>
      </w:pPr>
      <w:r>
        <w:rPr>
          <w:bCs/>
          <w:b/>
        </w:rPr>
        <w:t xml:space="preserve">Supply Chain Engagement:</w:t>
      </w:r>
      <w:r>
        <w:t xml:space="preserve"> </w:t>
      </w:r>
      <w:r>
        <w:t xml:space="preserve">Collaborate with logistics providers to optimize routes, switch to lower-emission transport (e.g., rail where feasible for European distribution), and explore electric last-mile delivery options. Engage upstream suppliers to improve their environmental performance.</w:t>
      </w:r>
    </w:p>
    <w:p>
      <w:pPr>
        <w:numPr>
          <w:ilvl w:val="0"/>
          <w:numId w:val="1018"/>
        </w:numPr>
        <w:pStyle w:val="Compact"/>
      </w:pPr>
      <w:r>
        <w:rPr>
          <w:bCs/>
          <w:b/>
        </w:rPr>
        <w:t xml:space="preserve">Strengthen Circularity:</w:t>
      </w:r>
      <w:r>
        <w:t xml:space="preserve"> </w:t>
      </w:r>
      <w:r>
        <w:t xml:space="preserve">Continue and expand the company-run take-back scheme. Investigate technologies and partnerships to increase the actual recycling rates of complex electronic products and components.</w:t>
      </w:r>
    </w:p>
    <w:p>
      <w:pPr>
        <w:numPr>
          <w:ilvl w:val="0"/>
          <w:numId w:val="1018"/>
        </w:numPr>
        <w:pStyle w:val="Compact"/>
      </w:pPr>
      <w:r>
        <w:rPr>
          <w:bCs/>
          <w:b/>
        </w:rPr>
        <w:t xml:space="preserve">Data Refinement:</w:t>
      </w:r>
      <w:r>
        <w:t xml:space="preserve"> </w:t>
      </w:r>
      <w:r>
        <w:t xml:space="preserve">Prioritize collecting primary data for all material inputs, energy consumption, and transport activities across the value chain to improve the accuracy and robustness of future PCF assessments.</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r>
        <w:t xml:space="preserve"> </w:t>
      </w:r>
      <w:r>
        <w:t xml:space="preserve">of</w:t>
      </w:r>
      <w:r>
        <w:t xml:space="preserve"> </w:t>
      </w:r>
      <w:bookmarkStart w:id="47" w:name="totalPages"/>
      <w:bookmarkEnd w:id="47"/>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okyhwrmend</dc:title>
  <dc:creator/>
  <dc:description>High-detail Product Carbon Footprint (PCF) analysis for okyhwrmend, a smart home device, adhering to GHG Protocol standards and 2026 updates, performed by jkzyfvlele for ieqqlrknhi.</dc:description>
  <dc:language>en</dc:language>
  <cp:keywords/>
  <dcterms:created xsi:type="dcterms:W3CDTF">2026-07-15T13:36:07Z</dcterms:created>
  <dcterms:modified xsi:type="dcterms:W3CDTF">2026-07-15T13:36:07Z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