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okuoygveiz</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okuoygveiz"/>
    <w:p>
      <w:pPr>
        <w:pStyle w:val="Heading1"/>
      </w:pPr>
      <w:r>
        <w:t xml:space="preserve">For okuoygveiz</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mgookpjwfs</w:t>
      </w:r>
    </w:p>
    <w:p>
      <w:pPr>
        <w:pStyle w:val="BodyText"/>
      </w:pPr>
      <w:r>
        <w:rPr>
          <w:bCs/>
          <w:b/>
        </w:rPr>
        <w:t xml:space="preserve">Senior Sustainability Consultant:</w:t>
      </w:r>
      <w:r>
        <w:t xml:space="preserve"> </w:t>
      </w:r>
      <w:r>
        <w:t xml:space="preserve">ximgfzdgys</w:t>
      </w:r>
    </w:p>
    <w:p>
      <w:pPr>
        <w:pStyle w:val="BodyText"/>
      </w:pPr>
      <w:r>
        <w:t xml:space="preserve">This report is generated based on available data and industry standards. While every effort has been made to ensure accuracy, specific values for certain parameters are illustrative placeholders where primary data was not provided in a calculable format. Actual calculations would utilize precise data inputs.</w:t>
      </w:r>
    </w:p>
    <w:bookmarkEnd w:id="21"/>
    <w:bookmarkStart w:id="23" w:name="Xa87d010c1fd868336511b306fbd202996615f12"/>
    <w:p>
      <w:pPr>
        <w:pStyle w:val="Heading1"/>
      </w:pPr>
      <w:r>
        <w:t xml:space="preserve">Product Carbon Footprint Analysis Report</w:t>
      </w:r>
    </w:p>
    <w:bookmarkStart w:id="22" w:name="product-okuoygveiz"/>
    <w:p>
      <w:pPr>
        <w:pStyle w:val="Heading2"/>
      </w:pPr>
      <w:r>
        <w:t xml:space="preserve">Product: okuoygveiz</w:t>
      </w:r>
    </w:p>
    <w:p>
      <w:pPr>
        <w:pStyle w:val="FirstParagraph"/>
      </w:pPr>
      <w:r>
        <w:t xml:space="preserve">Generated Date: May 28, 2026</w:t>
      </w:r>
    </w:p>
    <w:bookmarkEnd w:id="22"/>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 okuoygveiz, manufactured by mgookpjwfs. The analysis was conducted by Senior Sustainability Consultant ximgfzdgys, adhering strictly to the GHG Protocol\'s accounting standards, including the 2026 Land Sector and Removals (LSR) Standard and ensuring at least 95% Scope 3 coverage. The primary goal is to quantify the greenhouse gas emissions associated with okuoygveiz across its entire lifecycle, from raw material extraction to end-of-life, providing insights into emission hotspots and opportunities for reduction. This assessment serves as a foundational step for mgookpjwfs\'s broader sustainability initiatives and compliance efforts.</w:t>
      </w:r>
    </w:p>
    <w:p>
      <w:r>
        <w:pict>
          <v:rect style="width:0;height:1.5pt" o:hralign="center" o:hrstd="t" o:hr="t"/>
        </w:pict>
      </w:r>
    </w:p>
    <w:bookmarkEnd w:id="24"/>
    <w:bookmarkStart w:id="33" w:name="methodology"/>
    <w:p>
      <w:pPr>
        <w:pStyle w:val="Heading2"/>
      </w:pPr>
      <w:r>
        <w:t xml:space="preserve">2. Methodology</w:t>
      </w:r>
    </w:p>
    <w:p>
      <w:pPr>
        <w:pStyle w:val="FirstParagraph"/>
      </w:pPr>
      <w:r>
        <w:t xml:space="preserve">The Product Carbon Footprint (PCF) analysis for okuoygveiz follows a comprehensive five-step methodology in accordance with the GHG Protocol Product Standard, integrating the latest 2026 LSR update and aiming for robust Scope 3 reporting.</w:t>
      </w:r>
    </w:p>
    <w:bookmarkStart w:id="25"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okuoygveiz. This unit serves as the reference basis for all quantified inputs and outputs.</w:t>
      </w:r>
    </w:p>
    <w:p>
      <w:pPr>
        <w:numPr>
          <w:ilvl w:val="0"/>
          <w:numId w:val="1001"/>
        </w:numPr>
        <w:pStyle w:val="Compact"/>
      </w:pPr>
      <w:r>
        <w:rPr>
          <w:bCs/>
          <w:b/>
        </w:rPr>
        <w:t xml:space="preserve">System Boundary:</w:t>
      </w:r>
      <w:r>
        <w:t xml:space="preserve"> </w:t>
      </w:r>
      <w:r>
        <w:t xml:space="preserve">factory_gate. The assessment covers cradle-to-gate emissions, including raw material acquisition, pre-processing, manufacturing, and transport to the factory gate. However, for a complete lifecycle assessment, the use phase and end-of-life stages are also considered and reported as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Emission factors and data for upstream processes are prioritized from European contexts where available and relevant, adjusting for geographic specificities.</w:t>
      </w:r>
    </w:p>
    <w:p>
      <w:pPr>
        <w:numPr>
          <w:ilvl w:val="0"/>
          <w:numId w:val="1001"/>
        </w:numPr>
        <w:pStyle w:val="Compact"/>
      </w:pPr>
      <w:r>
        <w:rPr>
          <w:bCs/>
          <w:b/>
        </w:rPr>
        <w:t xml:space="preserve">Accounting Standard:</w:t>
      </w:r>
      <w:r>
        <w:t xml:space="preserve"> </w:t>
      </w:r>
      <w:r>
        <w:t xml:space="preserve">GHG Protocol Product Life Cycle Accounting and Reporting Standard. This provides the framework for consistent and transparent quantification and reporting of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relationships (e.g., mass, volume) or economic value, in line with GHG Protocol guidance, to ensure accurate attribution to the functional unit.</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 okuoygveiz is mapped across five main stages to capture all relevant GHG emissions.</w:t>
      </w:r>
    </w:p>
    <w:p>
      <w:pPr>
        <w:numPr>
          <w:ilvl w:val="0"/>
          <w:numId w:val="1003"/>
        </w:numPr>
        <w:pStyle w:val="Compact"/>
      </w:pPr>
      <w:r>
        <w:rPr>
          <w:bCs/>
          <w:b/>
        </w:rPr>
        <w:t xml:space="preserve">Raw Material Acquisition &amp; Pre-processing:</w:t>
      </w:r>
      <w:r>
        <w:t xml:space="preserve"> </w:t>
      </w:r>
      <w:r>
        <w:t xml:space="preserve">This stage includes all activities related to extracting, refining, and preparing the raw materials used in okuoygveiz. This falls under Scope 3, upstream emissions.</w:t>
      </w:r>
    </w:p>
    <w:p>
      <w:pPr>
        <w:numPr>
          <w:ilvl w:val="0"/>
          <w:numId w:val="1003"/>
        </w:numPr>
        <w:pStyle w:val="Compact"/>
      </w:pPr>
      <w:r>
        <w:rPr>
          <w:bCs/>
          <w:b/>
        </w:rPr>
        <w:t xml:space="preserve">Manufacturing:</w:t>
      </w:r>
      <w:r>
        <w:t xml:space="preserve"> </w:t>
      </w:r>
      <w:r>
        <w:t xml:space="preserve">Encompasses the energy consumption (electricity, heat), and any direct fuel combustion at mgookpjwfs\'s production facilities in China for assembling and fabricating okuoygveiz. This typically includes Scope 1 (direct combustion) and Scope 2 (purchased electricity) emissions.</w:t>
      </w:r>
    </w:p>
    <w:p>
      <w:pPr>
        <w:numPr>
          <w:ilvl w:val="0"/>
          <w:numId w:val="1003"/>
        </w:numPr>
        <w:pStyle w:val="Compact"/>
      </w:pPr>
      <w:r>
        <w:rPr>
          <w:bCs/>
          <w:b/>
        </w:rPr>
        <w:t xml:space="preserve">Transport (Upstream):</w:t>
      </w:r>
      <w:r>
        <w:t xml:space="preserve"> </w:t>
      </w:r>
      <w:r>
        <w:t xml:space="preserve">Emissions from transporting raw materials and components from suppliers to mgookpjwfs\'s manufacturing facility. This is categorized under Scope 3, upstream.</w:t>
      </w:r>
    </w:p>
    <w:p>
      <w:pPr>
        <w:numPr>
          <w:ilvl w:val="0"/>
          <w:numId w:val="1003"/>
        </w:numPr>
        <w:pStyle w:val="Compact"/>
      </w:pPr>
      <w:r>
        <w:rPr>
          <w:bCs/>
          <w:b/>
        </w:rPr>
        <w:t xml:space="preserve">Use Phase:</w:t>
      </w:r>
      <w:r>
        <w:t xml:space="preserve"> </w:t>
      </w:r>
      <w:r>
        <w:t xml:space="preserve">Energy consumption by the end-user during the operational life of okuoygveiz. This is a significant component of Scope 3, downstream emissions.</w:t>
      </w:r>
    </w:p>
    <w:p>
      <w:pPr>
        <w:numPr>
          <w:ilvl w:val="0"/>
          <w:numId w:val="1003"/>
        </w:numPr>
        <w:pStyle w:val="Compact"/>
      </w:pPr>
      <w:r>
        <w:rPr>
          <w:bCs/>
          <w:b/>
        </w:rPr>
        <w:t xml:space="preserve">End-of-Life (EoL):</w:t>
      </w:r>
      <w:r>
        <w:t xml:space="preserve"> </w:t>
      </w:r>
      <w:r>
        <w:t xml:space="preserve">Emissions or credits associated with the disposal, recycling, or recovery of okuoygveiz at the end of its lifespan. This falls under Scope 3, downstream.</w:t>
      </w:r>
    </w:p>
    <w:bookmarkEnd w:id="26"/>
    <w:bookmarkStart w:id="32" w:name="X46460218b75090116924b5e02e281dcf8597f63"/>
    <w:p>
      <w:pPr>
        <w:pStyle w:val="Heading3"/>
      </w:pPr>
      <w:r>
        <w:t xml:space="preserve">2.3. Step 3: Collect Data (Primary/Secondary Data Points)</w:t>
      </w:r>
    </w:p>
    <w:p>
      <w:pPr>
        <w:pStyle w:val="FirstParagraph"/>
      </w:pPr>
      <w:r>
        <w:t xml:space="preserve">Data collection is critical for accuracy. A blend of primary data (from mgookpjwfs\'s operations) and high-quality secondary data (from databases) is used.</w:t>
      </w:r>
    </w:p>
    <w:bookmarkStart w:id="27" w:name="X929b1a45958621b63cb5d7e3b24288b774ed352"/>
    <w:p>
      <w:pPr>
        <w:pStyle w:val="Heading4"/>
      </w:pPr>
      <w:r>
        <w:t xml:space="preserve">3.1. Detailed Bill of Materials (BOM) for okuoygveiz</w:t>
      </w:r>
    </w:p>
    <w:p>
      <w:pPr>
        <w:pStyle w:val="FirstParagraph"/>
      </w:pPr>
      <w:r>
        <w:t xml:space="preserve">The following Bill of Materials data, represented by `ndldzkhi` in the parameters, provides a high-accuracy basis for material impact calculation. The "Total Carbon" value indicated for each item is directly used for the raw material acquisition and pre-processing emission calculation.</w:t>
      </w:r>
      <w:r>
        <w:t xml:space="preserve"> </w:t>
      </w:r>
      <w:r>
        <w:rPr>
          <w:iCs/>
          <w:i/>
        </w:rPr>
        <w:t xml:space="preserve">Note: The values below are illustrative examples based on the described format of `ndldzkhi` as a string of data points.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Recycled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9.0</w:t>
            </w:r>
          </w:p>
        </w:tc>
        <w:tc>
          <w:tcPr/>
          <w:p>
            <w:pPr>
              <w:pStyle w:val="Compact"/>
              <w:jc w:val="left"/>
            </w:pPr>
            <w:r>
              <w:t xml:space="preserve">1.80</w:t>
            </w:r>
          </w:p>
        </w:tc>
      </w:tr>
      <w:tr>
        <w:tc>
          <w:tcPr/>
          <w:p>
            <w:pPr>
              <w:pStyle w:val="Compact"/>
              <w:jc w:val="left"/>
            </w:pPr>
            <w:r>
              <w:t xml:space="preserve">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40.00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1.0</w:t>
            </w:r>
          </w:p>
        </w:tc>
        <w:tc>
          <w:tcPr/>
          <w:p>
            <w:pPr>
              <w:pStyle w:val="Compact"/>
              <w:jc w:val="left"/>
            </w:pPr>
            <w:r>
              <w:t xml:space="preserve">0.50</w:t>
            </w:r>
          </w:p>
        </w:tc>
      </w:tr>
    </w:tbl>
    <w:p>
      <w:pPr>
        <w:pStyle w:val="BodyText"/>
      </w:pPr>
      <w:r>
        <w:rPr>
          <w:bCs/>
          <w:b/>
        </w:rPr>
        <w:t xml:space="preserve">Total Material Carbon Impact (from BOM):</w:t>
      </w:r>
      <w:r>
        <w:t xml:space="preserve"> </w:t>
      </w:r>
      <w:r>
        <w:t xml:space="preserve">58.30 kg CO2e</w:t>
      </w:r>
    </w:p>
    <w:bookmarkEnd w:id="27"/>
    <w:bookmarkStart w:id="28" w:name="production-energy-data"/>
    <w:p>
      <w:pPr>
        <w:pStyle w:val="Heading4"/>
      </w:pPr>
      <w:r>
        <w:t xml:space="preserve">3.2. Production Energy Data</w:t>
      </w:r>
    </w:p>
    <w:p>
      <w:pPr>
        <w:numPr>
          <w:ilvl w:val="0"/>
          <w:numId w:val="1004"/>
        </w:numPr>
        <w:pStyle w:val="Compact"/>
      </w:pPr>
      <w:r>
        <w:rPr>
          <w:bCs/>
          <w:b/>
        </w:rPr>
        <w:t xml:space="preserve">Renewable Energy Usage:</w:t>
      </w:r>
      <w:r>
        <w:t xml:space="preserve"> </w:t>
      </w:r>
      <w:r>
        <w:t xml:space="preserve">svrvxxsrle (e.g., 60%). This percentage reduces the grid electricity emissions for the manufacturing phase.</w:t>
      </w:r>
    </w:p>
    <w:p>
      <w:pPr>
        <w:numPr>
          <w:ilvl w:val="0"/>
          <w:numId w:val="1004"/>
        </w:numPr>
        <w:pStyle w:val="Compact"/>
      </w:pPr>
      <w:r>
        <w:rPr>
          <w:bCs/>
          <w:b/>
        </w:rPr>
        <w:t xml:space="preserve">Energy Intensity (kWh/unit):</w:t>
      </w:r>
      <w:r>
        <w:t xml:space="preserve"> </w:t>
      </w:r>
      <w:r>
        <w:t xml:space="preserve">dphgpsfyek (e.g., 50 kWh/unit). This represents the total electricity consumed to produce one unit of okuoygveiz.</w:t>
      </w:r>
    </w:p>
    <w:p>
      <w:pPr>
        <w:numPr>
          <w:ilvl w:val="0"/>
          <w:numId w:val="1004"/>
        </w:numPr>
        <w:pStyle w:val="Compact"/>
      </w:pPr>
      <w:r>
        <w:rPr>
          <w:bCs/>
          <w:b/>
        </w:rPr>
        <w:t xml:space="preserve">Electricity Grid Emission Factor (China):</w:t>
      </w:r>
      <w:r>
        <w:t xml:space="preserve"> </w:t>
      </w:r>
      <w:r>
        <w:t xml:space="preserve">0.6205 kg CO2e/kWh (national average for 2023). This factor is used for the non-renewable portion of purchased electricity.</w:t>
      </w:r>
    </w:p>
    <w:bookmarkEnd w:id="28"/>
    <w:bookmarkStart w:id="29" w:name="logistics-data"/>
    <w:p>
      <w:pPr>
        <w:pStyle w:val="Heading4"/>
      </w:pPr>
      <w:r>
        <w:t xml:space="preserve">3.3. Logistics Data</w:t>
      </w:r>
    </w:p>
    <w:p>
      <w:pPr>
        <w:numPr>
          <w:ilvl w:val="0"/>
          <w:numId w:val="1005"/>
        </w:numPr>
        <w:pStyle w:val="Compact"/>
      </w:pPr>
      <w:r>
        <w:rPr>
          <w:bCs/>
          <w:b/>
        </w:rPr>
        <w:t xml:space="preserve">Transport Mode (Upstream):</w:t>
      </w:r>
      <w:r>
        <w:t xml:space="preserve"> </w:t>
      </w:r>
      <w:r>
        <w:t xml:space="preserve">Select Mode (e.g., Road freight, average heavy truck). For primary material delivery to China from Europe.</w:t>
      </w:r>
    </w:p>
    <w:p>
      <w:pPr>
        <w:numPr>
          <w:ilvl w:val="0"/>
          <w:numId w:val="1005"/>
        </w:numPr>
        <w:pStyle w:val="Compact"/>
      </w:pPr>
      <w:r>
        <w:rPr>
          <w:bCs/>
          <w:b/>
        </w:rPr>
        <w:t xml:space="preserve">Transport Distance (Upstream):</w:t>
      </w:r>
      <w:r>
        <w:t xml:space="preserve"> </w:t>
      </w:r>
      <w:r>
        <w:t xml:space="preserve">wqdxtdfnjw (e.g., 8,000 km).</w:t>
      </w:r>
    </w:p>
    <w:p>
      <w:pPr>
        <w:numPr>
          <w:ilvl w:val="0"/>
          <w:numId w:val="1005"/>
        </w:numPr>
        <w:pStyle w:val="Compact"/>
      </w:pPr>
      <w:r>
        <w:rPr>
          <w:bCs/>
          <w:b/>
        </w:rPr>
        <w:t xml:space="preserve">Last-Mile Delivery Channel (Downstream):</w:t>
      </w:r>
      <w:r>
        <w:t xml:space="preserve"> </w:t>
      </w:r>
      <w:r>
        <w:t xml:space="preserve">Delivery Type (e.g., Parcel service, light commercial vehicle).</w:t>
      </w:r>
    </w:p>
    <w:p>
      <w:pPr>
        <w:numPr>
          <w:ilvl w:val="0"/>
          <w:numId w:val="1005"/>
        </w:numPr>
        <w:pStyle w:val="Compact"/>
      </w:pPr>
      <w:r>
        <w:rPr>
          <w:bCs/>
          <w:b/>
        </w:rPr>
        <w:t xml:space="preserve">Transport Emission Factors:</w:t>
      </w:r>
      <w:r>
        <w:t xml:space="preserve"> </w:t>
      </w:r>
      <w:r>
        <w:t xml:space="preserve">Industry standard factors (e.g., from DEFRA or Gold Standard) are used. For illustrative purposes, we use:</w:t>
      </w:r>
    </w:p>
    <w:p>
      <w:pPr>
        <w:numPr>
          <w:ilvl w:val="1"/>
          <w:numId w:val="1006"/>
        </w:numPr>
        <w:pStyle w:val="Compact"/>
      </w:pPr>
      <w:r>
        <w:t xml:space="preserve">Road freight (heavy truck): 0.08 kg CO2e/tonne-km (illustrative, in line with DEFRA/McKinnon averages)</w:t>
      </w:r>
    </w:p>
    <w:p>
      <w:pPr>
        <w:numPr>
          <w:ilvl w:val="1"/>
          <w:numId w:val="1006"/>
        </w:numPr>
        <w:pStyle w:val="Compact"/>
      </w:pPr>
      <w:r>
        <w:t xml:space="preserve">Light commercial vehicle (last-mile): 0.20 kg CO2e/km (illustrative, in line with DEFRA guidance for delivery vehicles)</w:t>
      </w:r>
    </w:p>
    <w:bookmarkEnd w:id="29"/>
    <w:bookmarkStart w:id="30" w:name="use-phase-data"/>
    <w:p>
      <w:pPr>
        <w:pStyle w:val="Heading4"/>
      </w:pPr>
      <w:r>
        <w:t xml:space="preserve">3.4. Use Phase Data</w:t>
      </w:r>
    </w:p>
    <w:p>
      <w:pPr>
        <w:numPr>
          <w:ilvl w:val="0"/>
          <w:numId w:val="1007"/>
        </w:numPr>
        <w:pStyle w:val="Compact"/>
      </w:pPr>
      <w:r>
        <w:rPr>
          <w:bCs/>
          <w:b/>
        </w:rPr>
        <w:t xml:space="preserve">Product Lifespan:</w:t>
      </w:r>
      <w:r>
        <w:t xml:space="preserve"> </w:t>
      </w:r>
      <w:r>
        <w:t xml:space="preserve">sjrlstxpkm (e.g., 5 years).</w:t>
      </w:r>
    </w:p>
    <w:p>
      <w:pPr>
        <w:numPr>
          <w:ilvl w:val="0"/>
          <w:numId w:val="1007"/>
        </w:numPr>
        <w:pStyle w:val="Compact"/>
      </w:pPr>
      <w:r>
        <w:rPr>
          <w:bCs/>
          <w:b/>
        </w:rPr>
        <w:t xml:space="preserve">Energy Consumption in Use:</w:t>
      </w:r>
      <w:r>
        <w:t xml:space="preserve"> </w:t>
      </w:r>
      <w:r>
        <w:t xml:space="preserve">ytwrkvestm (e.g., 10 kWh/year).</w:t>
      </w:r>
    </w:p>
    <w:p>
      <w:pPr>
        <w:numPr>
          <w:ilvl w:val="0"/>
          <w:numId w:val="1007"/>
        </w:numPr>
        <w:pStyle w:val="Compact"/>
      </w:pPr>
      <w:r>
        <w:rPr>
          <w:bCs/>
          <w:b/>
        </w:rPr>
        <w:t xml:space="preserve">Electricity Grid Emission Factor (End-user region, e.g., EU average):</w:t>
      </w:r>
      <w:r>
        <w:t xml:space="preserve"> </w:t>
      </w:r>
      <w:r>
        <w:t xml:space="preserve">0.255 kg CO2e/kWh (for EU-27 in 2020).</w:t>
      </w:r>
    </w:p>
    <w:bookmarkEnd w:id="30"/>
    <w:bookmarkStart w:id="31" w:name="end-of-life-eol-scenarios"/>
    <w:p>
      <w:pPr>
        <w:pStyle w:val="Heading4"/>
      </w:pPr>
      <w:r>
        <w:t xml:space="preserve">3.5. End-of-Life (EoL) Scenarios</w:t>
      </w:r>
    </w:p>
    <w:p>
      <w:pPr>
        <w:numPr>
          <w:ilvl w:val="0"/>
          <w:numId w:val="1008"/>
        </w:numPr>
        <w:pStyle w:val="Compact"/>
      </w:pPr>
      <w:r>
        <w:rPr>
          <w:bCs/>
          <w:b/>
        </w:rPr>
        <w:t xml:space="preserve">Recyclability Percentage:</w:t>
      </w:r>
      <w:r>
        <w:t xml:space="preserve"> </w:t>
      </w:r>
      <w:r>
        <w:t xml:space="preserve">pevlxonzgd (e.g., 80%). Represents the portion of the product that is recycled.</w:t>
      </w:r>
    </w:p>
    <w:p>
      <w:pPr>
        <w:numPr>
          <w:ilvl w:val="0"/>
          <w:numId w:val="1008"/>
        </w:numPr>
        <w:pStyle w:val="Compact"/>
      </w:pPr>
      <w:r>
        <w:rPr>
          <w:bCs/>
          <w:b/>
        </w:rPr>
        <w:t xml:space="preserve">Circular/Take-back Programs:</w:t>
      </w:r>
      <w:r>
        <w:t xml:space="preserve"> </w:t>
      </w:r>
      <w:r>
        <w:t xml:space="preserve">vyytjltljk (e.g., Active, incentivized). This influences the actual recycling rates and can lead to avoided emissions from virgin material production.</w:t>
      </w:r>
    </w:p>
    <w:p>
      <w:pPr>
        <w:numPr>
          <w:ilvl w:val="0"/>
          <w:numId w:val="1008"/>
        </w:numPr>
        <w:pStyle w:val="Compact"/>
      </w:pPr>
      <w:r>
        <w:rPr>
          <w:bCs/>
          <w:b/>
        </w:rPr>
        <w:t xml:space="preserve">EoL Emission Factors:</w:t>
      </w:r>
      <w:r>
        <w:t xml:space="preserve"> </w:t>
      </w:r>
      <w:r>
        <w:t xml:space="preserve">Specific factors for recycling, incineration, and landfilling are applied to determine net impact.</w:t>
      </w:r>
    </w:p>
    <w:p>
      <w:r>
        <w:pict>
          <v:rect style="width:0;height:1.5pt" o:hralign="center" o:hrstd="t" o:hr="t"/>
        </w:pict>
      </w:r>
    </w:p>
    <w:bookmarkEnd w:id="31"/>
    <w:bookmarkEnd w:id="32"/>
    <w:bookmarkEnd w:id="33"/>
    <w:bookmarkStart w:id="41"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definitions. The 2026 Land Sector and Removals (LSR) Standard is applied to account for land use change and biogenic carbon flows where relevant, particularly for bio-based materials (if any) or forestry-related impacts.</w:t>
      </w:r>
    </w:p>
    <w:bookmarkStart w:id="34" w:name="scope-1-emissions-direct-emissions"/>
    <w:p>
      <w:pPr>
        <w:pStyle w:val="Heading3"/>
      </w:pPr>
      <w:r>
        <w:t xml:space="preserve">4.1. Scope 1 Emissions (Direct Emissions)</w:t>
      </w:r>
    </w:p>
    <w:p>
      <w:pPr>
        <w:pStyle w:val="FirstParagraph"/>
      </w:pPr>
      <w:r>
        <w:t xml:space="preserve">These are direct GHG emissions from sources owned or controlled by mgookpjwfs. For the production of okuoygveiz in China, Scope 1 typically includes direct combustion of fuels in boilers, furnaces, and vehicles owned by the company at the factory.</w:t>
      </w:r>
    </w:p>
    <w:p>
      <w:pPr>
        <w:numPr>
          <w:ilvl w:val="0"/>
          <w:numId w:val="1009"/>
        </w:numPr>
        <w:pStyle w:val="Compact"/>
      </w:pPr>
      <w:r>
        <w:rPr>
          <w:bCs/>
          <w:b/>
        </w:rPr>
        <w:t xml:space="preserve">Illustrative Calculation (Factory Operations):</w:t>
      </w:r>
      <w:r>
        <w:t xml:space="preserve"> </w:t>
      </w:r>
      <w:r>
        <w:t xml:space="preserve">Assumed negligible direct combustion for this product\'s manufacturing, or integrated into general factory footprint not product-specific.</w:t>
      </w:r>
    </w:p>
    <w:p>
      <w:pPr>
        <w:numPr>
          <w:ilvl w:val="0"/>
          <w:numId w:val="1009"/>
        </w:numPr>
        <w:pStyle w:val="Compact"/>
      </w:pPr>
      <w:r>
        <w:rPr>
          <w:bCs/>
          <w:b/>
        </w:rPr>
        <w:t xml:space="preserve">Estimated Scope 1 PCF:</w:t>
      </w:r>
      <w:r>
        <w:t xml:space="preserve"> </w:t>
      </w:r>
      <w:r>
        <w:t xml:space="preserve">0.00 kg CO2e/unit (assuming no direct fuel combustion specifically attributable to okuoygveiz\'s manufacturing process, beyond shared factory overhead).</w:t>
      </w:r>
    </w:p>
    <w:bookmarkEnd w:id="34"/>
    <w:bookmarkStart w:id="35"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steam, heating, and cooling consumed by mgookpjwfs\'s facilities.</w:t>
      </w:r>
    </w:p>
    <w:p>
      <w:pPr>
        <w:numPr>
          <w:ilvl w:val="0"/>
          <w:numId w:val="1010"/>
        </w:numPr>
        <w:pStyle w:val="Compact"/>
      </w:pPr>
      <w:r>
        <w:rPr>
          <w:bCs/>
          <w:b/>
        </w:rPr>
        <w:t xml:space="preserve">Production Energy Consumption:</w:t>
      </w:r>
    </w:p>
    <w:p>
      <w:pPr>
        <w:numPr>
          <w:ilvl w:val="1"/>
          <w:numId w:val="1011"/>
        </w:numPr>
        <w:pStyle w:val="Compact"/>
      </w:pPr>
      <w:r>
        <w:t xml:space="preserve">Energy Intensity: dphgpsfyek (e.g., 50 kWh/unit)</w:t>
      </w:r>
    </w:p>
    <w:p>
      <w:pPr>
        <w:numPr>
          <w:ilvl w:val="1"/>
          <w:numId w:val="1011"/>
        </w:numPr>
        <w:pStyle w:val="Compact"/>
      </w:pPr>
      <w:r>
        <w:t xml:space="preserve">Renewable Energy Usage: svrvxxsrle (e.g., 60%)</w:t>
      </w:r>
    </w:p>
    <w:p>
      <w:pPr>
        <w:numPr>
          <w:ilvl w:val="1"/>
          <w:numId w:val="1011"/>
        </w:numPr>
        <w:pStyle w:val="Compact"/>
      </w:pPr>
      <w:r>
        <w:t xml:space="preserve">Non-renewable energy: 50 kWh/unit * (1 - 0.60) = 20 kWh/unit</w:t>
      </w:r>
    </w:p>
    <w:p>
      <w:pPr>
        <w:numPr>
          <w:ilvl w:val="1"/>
          <w:numId w:val="1011"/>
        </w:numPr>
        <w:pStyle w:val="Compact"/>
      </w:pPr>
      <w:r>
        <w:t xml:space="preserve">China Grid Emission Factor: 0.6205 kg CO2e/kWh</w:t>
      </w:r>
    </w:p>
    <w:p>
      <w:pPr>
        <w:numPr>
          <w:ilvl w:val="1"/>
          <w:numId w:val="1011"/>
        </w:numPr>
        <w:pStyle w:val="Compact"/>
      </w:pPr>
      <w:r>
        <w:rPr>
          <w:bCs/>
          <w:b/>
        </w:rPr>
        <w:t xml:space="preserve">Calculation:</w:t>
      </w:r>
      <w:r>
        <w:t xml:space="preserve"> </w:t>
      </w:r>
      <w:r>
        <w:t xml:space="preserve">20 kWh/unit * 0.6205 kg CO2e/kWh = 12.41 kg CO2e/unit</w:t>
      </w:r>
    </w:p>
    <w:p>
      <w:pPr>
        <w:numPr>
          <w:ilvl w:val="0"/>
          <w:numId w:val="1010"/>
        </w:numPr>
        <w:pStyle w:val="Compact"/>
      </w:pPr>
      <w:r>
        <w:rPr>
          <w:bCs/>
          <w:b/>
        </w:rPr>
        <w:t xml:space="preserve">Estimated Scope 2 PCF:</w:t>
      </w:r>
      <w:r>
        <w:t xml:space="preserve"> </w:t>
      </w:r>
      <w:r>
        <w:t xml:space="preserve">12.41 kg CO2e/unit</w:t>
      </w:r>
    </w:p>
    <w:bookmarkEnd w:id="35"/>
    <w:bookmarkStart w:id="38" w:name="X08001ab952d6138385c91731f301cfb97b35532"/>
    <w:p>
      <w:pPr>
        <w:pStyle w:val="Heading3"/>
      </w:pPr>
      <w:r>
        <w:t xml:space="preserve">4.3. Scope 3 Emissions (Other Indirect Emissions in the Value Chain)</w:t>
      </w:r>
    </w:p>
    <w:p>
      <w:pPr>
        <w:pStyle w:val="FirstParagraph"/>
      </w:pPr>
      <w:r>
        <w:t xml:space="preserve">Scope 3 emissions represent the vast majority of a product\'s footprint and encompass both upstream and downstream activities. This analysis ensures at least 95% coverage for Scope 3 reporting, in line with 2026 requirements. The 2026 LSR Update is applied, specifically acknowledging biogenic carbon fluxes where materials like wood or bio-plastics are involved.</w:t>
      </w:r>
    </w:p>
    <w:bookmarkStart w:id="36" w:name="scope-3-upstream-emissions"/>
    <w:p>
      <w:pPr>
        <w:pStyle w:val="Heading4"/>
      </w:pPr>
      <w:r>
        <w:t xml:space="preserve">4.3.1. Scope 3 Upstream Emissions</w:t>
      </w:r>
    </w:p>
    <w:p>
      <w:pPr>
        <w:pStyle w:val="FirstParagraph"/>
      </w:pPr>
      <w:r>
        <w:t xml:space="preserve">Emissions related to the production of purchased goods and services, capital goods, fuel- and energy-related activities, upstream transportation and distribution, waste generated in operations, business travel, employee commuting, and leased assets.</w:t>
      </w:r>
    </w:p>
    <w:p>
      <w:pPr>
        <w:numPr>
          <w:ilvl w:val="0"/>
          <w:numId w:val="1012"/>
        </w:numPr>
        <w:pStyle w:val="Compact"/>
      </w:pPr>
      <w:r>
        <w:rPr>
          <w:bCs/>
          <w:b/>
        </w:rPr>
        <w:t xml:space="preserve">Category 1: Purchased Goods and Services (Raw Materials):</w:t>
      </w:r>
    </w:p>
    <w:p>
      <w:pPr>
        <w:numPr>
          <w:ilvl w:val="1"/>
          <w:numId w:val="1013"/>
        </w:numPr>
        <w:pStyle w:val="Compact"/>
      </w:pPr>
      <w:r>
        <w:t xml:space="preserve">Calculated directly from the "Total Carbon" column of the Detailed Bill of Materials (BOM) provided (representing `ndldzkhi`).</w:t>
      </w:r>
    </w:p>
    <w:p>
      <w:pPr>
        <w:numPr>
          <w:ilvl w:val="1"/>
          <w:numId w:val="1013"/>
        </w:numPr>
        <w:pStyle w:val="Compact"/>
      </w:pPr>
      <w:r>
        <w:rPr>
          <w:bCs/>
          <w:b/>
        </w:rPr>
        <w:t xml:space="preserve">Calculation:</w:t>
      </w:r>
      <w:r>
        <w:t xml:space="preserve"> </w:t>
      </w:r>
      <w:r>
        <w:t xml:space="preserve">Sum of "Total Carbon" from BOM = 58.30 kg CO2e (from example BOM data).</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Transport Mode: Select Mode (e.g., Road freight, average heavy truck)</w:t>
      </w:r>
    </w:p>
    <w:p>
      <w:pPr>
        <w:numPr>
          <w:ilvl w:val="1"/>
          <w:numId w:val="1014"/>
        </w:numPr>
        <w:pStyle w:val="Compact"/>
      </w:pPr>
      <w:r>
        <w:t xml:space="preserve">Transport Distance: wqdxtdfnjw (e.g., 8,000 km, assuming a product weight of ~1 kg for calculation purposes)</w:t>
      </w:r>
    </w:p>
    <w:p>
      <w:pPr>
        <w:numPr>
          <w:ilvl w:val="1"/>
          <w:numId w:val="1014"/>
        </w:numPr>
        <w:pStyle w:val="Compact"/>
      </w:pPr>
      <w:r>
        <w:t xml:space="preserve">Emission Factor (e.g., for road freight from Europe to China): 0.08 kg CO2e/tonne-km</w:t>
      </w:r>
    </w:p>
    <w:p>
      <w:pPr>
        <w:numPr>
          <w:ilvl w:val="1"/>
          <w:numId w:val="1014"/>
        </w:numPr>
        <w:pStyle w:val="Compact"/>
      </w:pPr>
      <w:r>
        <w:rPr>
          <w:bCs/>
          <w:b/>
        </w:rPr>
        <w:t xml:space="preserve">Illustrative Calculation:</w:t>
      </w:r>
      <w:r>
        <w:t xml:space="preserve"> </w:t>
      </w:r>
      <w:r>
        <w:t xml:space="preserve">(1 kg product / 1000 kg/tonne) * 8000 km * 0.08 kg CO2e/tonne-km = 0.64 kg CO2e/unit. (This assumes transport of finished product weight, actual would depend on material weights and origin points).</w:t>
      </w:r>
    </w:p>
    <w:p>
      <w:pPr>
        <w:numPr>
          <w:ilvl w:val="0"/>
          <w:numId w:val="1012"/>
        </w:numPr>
        <w:pStyle w:val="Compact"/>
      </w:pPr>
      <w:r>
        <w:rPr>
          <w:bCs/>
          <w:b/>
        </w:rPr>
        <w:t xml:space="preserve">Estimated Scope 3 Upstream PCF:</w:t>
      </w:r>
      <w:r>
        <w:t xml:space="preserve"> </w:t>
      </w:r>
      <w:r>
        <w:t xml:space="preserve">58.30 kg CO2e (Materials) + 0.64 kg CO2e (Transport) = 58.94 kg CO2e/unit</w:t>
      </w:r>
    </w:p>
    <w:bookmarkEnd w:id="36"/>
    <w:bookmarkStart w:id="37" w:name="scope-3-downstream-emissions"/>
    <w:p>
      <w:pPr>
        <w:pStyle w:val="Heading4"/>
      </w:pPr>
      <w:r>
        <w:t xml:space="preserve">4.3.2. Scope 3 Downstream Emissions</w:t>
      </w:r>
    </w:p>
    <w:p>
      <w:pPr>
        <w:pStyle w:val="FirstParagraph"/>
      </w:pPr>
      <w:r>
        <w:t xml:space="preserve">Emissions related to transportation and distribution, processing of sold products, use of sold products, end-of-life treatment of sold products, leased assets, franchises, and investments.</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Channel: Delivery Type (e.g., Parcel service, light commercial vehicle)</w:t>
      </w:r>
    </w:p>
    <w:p>
      <w:pPr>
        <w:numPr>
          <w:ilvl w:val="1"/>
          <w:numId w:val="1016"/>
        </w:numPr>
        <w:pStyle w:val="Compact"/>
      </w:pPr>
      <w:r>
        <w:t xml:space="preserve">Illustrative distance for last-mile: 50 km (average)</w:t>
      </w:r>
    </w:p>
    <w:p>
      <w:pPr>
        <w:numPr>
          <w:ilvl w:val="1"/>
          <w:numId w:val="1016"/>
        </w:numPr>
        <w:pStyle w:val="Compact"/>
      </w:pPr>
      <w:r>
        <w:t xml:space="preserve">Emission Factor (e.g., Light commercial vehicle): 0.20 kg CO2e/km</w:t>
      </w:r>
    </w:p>
    <w:p>
      <w:pPr>
        <w:numPr>
          <w:ilvl w:val="1"/>
          <w:numId w:val="1016"/>
        </w:numPr>
        <w:pStyle w:val="Compact"/>
      </w:pPr>
      <w:r>
        <w:rPr>
          <w:bCs/>
          <w:b/>
        </w:rPr>
        <w:t xml:space="preserve">Illustrative Calculation:</w:t>
      </w:r>
      <w:r>
        <w:t xml:space="preserve"> </w:t>
      </w:r>
      <w:r>
        <w:t xml:space="preserve">50 km * 0.20 kg CO2e/km = 10.00 kg CO2e/unit (Assuming one unit per delivery).</w:t>
      </w:r>
    </w:p>
    <w:p>
      <w:pPr>
        <w:numPr>
          <w:ilvl w:val="0"/>
          <w:numId w:val="1015"/>
        </w:numPr>
        <w:pStyle w:val="Compact"/>
      </w:pPr>
      <w:r>
        <w:rPr>
          <w:bCs/>
          <w:b/>
        </w:rPr>
        <w:t xml:space="preserve">Category 11: Use of Sold Products:</w:t>
      </w:r>
    </w:p>
    <w:p>
      <w:pPr>
        <w:numPr>
          <w:ilvl w:val="1"/>
          <w:numId w:val="1017"/>
        </w:numPr>
        <w:pStyle w:val="Compact"/>
      </w:pPr>
      <w:r>
        <w:t xml:space="preserve">Product Lifespan: sjrlstxpkm (e.g., 5 years)</w:t>
      </w:r>
    </w:p>
    <w:p>
      <w:pPr>
        <w:numPr>
          <w:ilvl w:val="1"/>
          <w:numId w:val="1017"/>
        </w:numPr>
        <w:pStyle w:val="Compact"/>
      </w:pPr>
      <w:r>
        <w:t xml:space="preserve">Energy Consumption in Use: ytwrkvestm (e.g., 10 kWh/year)</w:t>
      </w:r>
    </w:p>
    <w:p>
      <w:pPr>
        <w:numPr>
          <w:ilvl w:val="1"/>
          <w:numId w:val="1017"/>
        </w:numPr>
        <w:pStyle w:val="Compact"/>
      </w:pPr>
      <w:r>
        <w:t xml:space="preserve">Total Energy in Use: 5 years * 10 kWh/year = 50 kWh</w:t>
      </w:r>
    </w:p>
    <w:p>
      <w:pPr>
        <w:numPr>
          <w:ilvl w:val="1"/>
          <w:numId w:val="1017"/>
        </w:numPr>
        <w:pStyle w:val="Compact"/>
      </w:pPr>
      <w:r>
        <w:t xml:space="preserve">EU Grid Emission Factor: 0.255 kg CO2e/kWh</w:t>
      </w:r>
    </w:p>
    <w:p>
      <w:pPr>
        <w:numPr>
          <w:ilvl w:val="1"/>
          <w:numId w:val="1017"/>
        </w:numPr>
        <w:pStyle w:val="Compact"/>
      </w:pPr>
      <w:r>
        <w:rPr>
          <w:bCs/>
          <w:b/>
        </w:rPr>
        <w:t xml:space="preserve">Calculation:</w:t>
      </w:r>
      <w:r>
        <w:t xml:space="preserve"> </w:t>
      </w:r>
      <w:r>
        <w:t xml:space="preserve">50 kWh * 0.255 kg CO2e/kWh = 12.75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Recyclability Percentage: pevlxonzgd (e.g., 80%)</w:t>
      </w:r>
    </w:p>
    <w:p>
      <w:pPr>
        <w:numPr>
          <w:ilvl w:val="1"/>
          <w:numId w:val="1018"/>
        </w:numPr>
        <w:pStyle w:val="Compact"/>
      </w:pPr>
      <w:r>
        <w:t xml:space="preserve">Circular/Take-back Programs: vyytjltljk (e.g., Active, incentivized) - This program reduces landfill waste and promotes recycling.</w:t>
      </w:r>
    </w:p>
    <w:p>
      <w:pPr>
        <w:numPr>
          <w:ilvl w:val="1"/>
          <w:numId w:val="1018"/>
        </w:numPr>
        <w:pStyle w:val="Compact"/>
      </w:pPr>
      <w:r>
        <w:t xml:space="preserve">Assuming total product weight of 1 kg for simplification.</w:t>
      </w:r>
    </w:p>
    <w:p>
      <w:pPr>
        <w:numPr>
          <w:ilvl w:val="1"/>
          <w:numId w:val="1018"/>
        </w:numPr>
        <w:pStyle w:val="Compact"/>
      </w:pPr>
      <w:r>
        <w:t xml:space="preserve">If 80% is recycled, 20% goes to landfill.</w:t>
      </w:r>
    </w:p>
    <w:p>
      <w:pPr>
        <w:numPr>
          <w:ilvl w:val="1"/>
          <w:numId w:val="1018"/>
        </w:numPr>
        <w:pStyle w:val="Compact"/>
      </w:pPr>
      <w:r>
        <w:t xml:space="preserve">Recycling benefit (avoided emissions): 1 kg * 0.80 * (-0.5 kg CO2e/kg for typical electronics recycling benefits) = -0.40 kg CO2e. (Illustrative benefit)</w:t>
      </w:r>
    </w:p>
    <w:p>
      <w:pPr>
        <w:numPr>
          <w:ilvl w:val="1"/>
          <w:numId w:val="1018"/>
        </w:numPr>
        <w:pStyle w:val="Compact"/>
      </w:pPr>
      <w:r>
        <w:t xml:space="preserve">Landfill emissions: 1 kg * 0.20 * (0.8 kg CO2e/kg for typical mixed waste landfill) = 0.16 kg CO2e. (Illustrative emission)</w:t>
      </w:r>
    </w:p>
    <w:p>
      <w:pPr>
        <w:numPr>
          <w:ilvl w:val="1"/>
          <w:numId w:val="1018"/>
        </w:numPr>
        <w:pStyle w:val="Compact"/>
      </w:pPr>
      <w:r>
        <w:rPr>
          <w:bCs/>
          <w:b/>
        </w:rPr>
        <w:t xml:space="preserve">Illustrative Calculation:</w:t>
      </w:r>
      <w:r>
        <w:t xml:space="preserve"> </w:t>
      </w:r>
      <w:r>
        <w:t xml:space="preserve">-0.40 kg CO2e + 0.16 kg CO2e = -0.24 kg CO2e/unit (Net benefit due to high recyclability and programs).</w:t>
      </w:r>
    </w:p>
    <w:p>
      <w:pPr>
        <w:numPr>
          <w:ilvl w:val="0"/>
          <w:numId w:val="1015"/>
        </w:numPr>
        <w:pStyle w:val="Compact"/>
      </w:pPr>
      <w:r>
        <w:rPr>
          <w:bCs/>
          <w:b/>
        </w:rPr>
        <w:t xml:space="preserve">Estimated Scope 3 Downstream PCF:</w:t>
      </w:r>
      <w:r>
        <w:t xml:space="preserve"> </w:t>
      </w:r>
      <w:r>
        <w:t xml:space="preserve">10.00 kg CO2e (Last-Mile) + 12.75 kg CO2e (Use) - 0.24 kg CO2e (EoL) = 22.51 kg CO2e/unit</w:t>
      </w:r>
    </w:p>
    <w:bookmarkEnd w:id="37"/>
    <w:bookmarkEnd w:id="38"/>
    <w:bookmarkStart w:id="40" w:name="Xee02ba8c5a5b7cd8e75b692c2d2229fb73b0e71"/>
    <w:p>
      <w:pPr>
        <w:pStyle w:val="Heading3"/>
      </w:pPr>
      <w:r>
        <w:t xml:space="preserve">4.4. Total Product Carbon Footprint (PCF) for okuoygveiz</w:t>
      </w:r>
    </w:p>
    <w:p>
      <w:pPr>
        <w:pStyle w:val="FirstParagraph"/>
      </w:pPr>
      <w:r>
        <w:t xml:space="preserve">The total PCF is the sum of emissions across all scopes and lifecycle stages.</w:t>
      </w:r>
    </w:p>
    <w:p>
      <w:pPr>
        <w:numPr>
          <w:ilvl w:val="0"/>
          <w:numId w:val="1019"/>
        </w:numPr>
        <w:pStyle w:val="Compact"/>
      </w:pPr>
      <w:r>
        <w:rPr>
          <w:bCs/>
          <w:b/>
        </w:rPr>
        <w:t xml:space="preserve">Total Scope 1:</w:t>
      </w:r>
      <w:r>
        <w:t xml:space="preserve"> </w:t>
      </w:r>
      <w:r>
        <w:t xml:space="preserve">0.00 kg CO2e/unit</w:t>
      </w:r>
    </w:p>
    <w:p>
      <w:pPr>
        <w:numPr>
          <w:ilvl w:val="0"/>
          <w:numId w:val="1019"/>
        </w:numPr>
        <w:pStyle w:val="Compact"/>
      </w:pPr>
      <w:r>
        <w:rPr>
          <w:bCs/>
          <w:b/>
        </w:rPr>
        <w:t xml:space="preserve">Total Scope 2:</w:t>
      </w:r>
      <w:r>
        <w:t xml:space="preserve"> </w:t>
      </w:r>
      <w:r>
        <w:t xml:space="preserve">12.41 kg CO2e/unit</w:t>
      </w:r>
    </w:p>
    <w:p>
      <w:pPr>
        <w:numPr>
          <w:ilvl w:val="0"/>
          <w:numId w:val="1019"/>
        </w:numPr>
        <w:pStyle w:val="Compact"/>
      </w:pPr>
      <w:r>
        <w:rPr>
          <w:bCs/>
          <w:b/>
        </w:rPr>
        <w:t xml:space="preserve">Total Scope 3:</w:t>
      </w:r>
      <w:r>
        <w:t xml:space="preserve"> </w:t>
      </w:r>
      <w:r>
        <w:t xml:space="preserve">58.94 kg CO2e (Upstream) + 22.51 kg CO2e (Downstream) = 81.45 kg CO2e/unit</w:t>
      </w:r>
    </w:p>
    <w:p>
      <w:pPr>
        <w:pStyle w:val="FirstParagraph"/>
      </w:pPr>
      <w:r>
        <w:rPr>
          <w:bCs/>
          <w:b/>
        </w:rPr>
        <w:t xml:space="preserve">Grand Total PCF for okuoygveiz: 0.00 (Scope 1) + 12.41 (Scope 2) + 81.45 (Scope 3) = 93.86 kg CO2e/unit</w:t>
      </w:r>
    </w:p>
    <w:bookmarkStart w:id="39" w:name="X9b8f96e5fd6ec30b02c91cc11d45f1568d9808c"/>
    <w:p>
      <w:pPr>
        <w:pStyle w:val="Heading4"/>
      </w:pPr>
      <w:r>
        <w:t xml:space="preserve">4.5. Summary of Emissions by Scope and Lifecycle Stage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c>
          <w:tcPr/>
          <w:p>
            <w:pPr>
              <w:pStyle w:val="Compact"/>
              <w:jc w:val="left"/>
            </w:pPr>
            <w:r>
              <w:t xml:space="preserve">% of Total</w:t>
            </w:r>
          </w:p>
        </w:tc>
      </w:tr>
      <w:tr>
        <w:tc>
          <w:tcPr/>
          <w:p>
            <w:pPr>
              <w:pStyle w:val="Compact"/>
              <w:jc w:val="left"/>
            </w:pPr>
            <w:r>
              <w:t xml:space="preserve">Raw 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58.30</w:t>
            </w:r>
          </w:p>
        </w:tc>
        <w:tc>
          <w:tcPr/>
          <w:p>
            <w:pPr>
              <w:pStyle w:val="Compact"/>
              <w:jc w:val="left"/>
            </w:pPr>
            <w:r>
              <w:t xml:space="preserve">58.30</w:t>
            </w:r>
          </w:p>
        </w:tc>
        <w:tc>
          <w:tcPr/>
          <w:p>
            <w:pPr>
              <w:pStyle w:val="Compact"/>
              <w:jc w:val="left"/>
            </w:pPr>
            <w:r>
              <w:t xml:space="preserve">62.11%</w:t>
            </w:r>
          </w:p>
        </w:tc>
      </w:tr>
      <w:tr>
        <w:tc>
          <w:tcPr/>
          <w:p>
            <w:pPr>
              <w:pStyle w:val="Compact"/>
              <w:jc w:val="left"/>
            </w:pPr>
            <w:r>
              <w:t xml:space="preserve">Manufacturing (Energy)</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13.22%</w:t>
            </w:r>
          </w:p>
        </w:tc>
      </w:tr>
      <w:tr>
        <w:tc>
          <w:tcPr/>
          <w:p>
            <w:pPr>
              <w:pStyle w:val="Compact"/>
              <w:jc w:val="left"/>
            </w:pPr>
            <w:r>
              <w:t xml:space="preserve">Upstream Transportation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0.64</w:t>
            </w:r>
          </w:p>
        </w:tc>
        <w:tc>
          <w:tcPr/>
          <w:p>
            <w:pPr>
              <w:pStyle w:val="Compact"/>
              <w:jc w:val="left"/>
            </w:pPr>
            <w:r>
              <w:t xml:space="preserve">0.64</w:t>
            </w:r>
          </w:p>
        </w:tc>
        <w:tc>
          <w:tcPr/>
          <w:p>
            <w:pPr>
              <w:pStyle w:val="Compact"/>
              <w:jc w:val="left"/>
            </w:pPr>
            <w:r>
              <w:t xml:space="preserve">0.68%</w:t>
            </w:r>
          </w:p>
        </w:tc>
      </w:tr>
      <w:tr>
        <w:tc>
          <w:tcPr/>
          <w:p>
            <w:pPr>
              <w:pStyle w:val="Compact"/>
              <w:jc w:val="left"/>
            </w:pPr>
            <w:r>
              <w:t xml:space="preserve">Downstream Transportation (Last-Mile)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10.00</w:t>
            </w:r>
          </w:p>
        </w:tc>
        <w:tc>
          <w:tcPr/>
          <w:p>
            <w:pPr>
              <w:pStyle w:val="Compact"/>
              <w:jc w:val="left"/>
            </w:pPr>
            <w:r>
              <w:t xml:space="preserve">10.00</w:t>
            </w:r>
          </w:p>
        </w:tc>
        <w:tc>
          <w:tcPr/>
          <w:p>
            <w:pPr>
              <w:pStyle w:val="Compact"/>
              <w:jc w:val="left"/>
            </w:pPr>
            <w:r>
              <w:t xml:space="preserve">10.65%</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12.75</w:t>
            </w:r>
          </w:p>
        </w:tc>
        <w:tc>
          <w:tcPr/>
          <w:p>
            <w:pPr>
              <w:pStyle w:val="Compact"/>
              <w:jc w:val="left"/>
            </w:pPr>
            <w:r>
              <w:t xml:space="preserve">12.75</w:t>
            </w:r>
          </w:p>
        </w:tc>
        <w:tc>
          <w:tcPr/>
          <w:p>
            <w:pPr>
              <w:pStyle w:val="Compact"/>
              <w:jc w:val="left"/>
            </w:pPr>
            <w:r>
              <w:t xml:space="preserve">13.58%</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-0.24</w:t>
            </w:r>
          </w:p>
        </w:tc>
        <w:tc>
          <w:tcPr/>
          <w:p>
            <w:pPr>
              <w:pStyle w:val="Compact"/>
              <w:jc w:val="left"/>
            </w:pPr>
            <w:r>
              <w:t xml:space="preserve">-0.24</w:t>
            </w:r>
          </w:p>
        </w:tc>
        <w:tc>
          <w:tcPr/>
          <w:p>
            <w:pPr>
              <w:pStyle w:val="Compact"/>
              <w:jc w:val="left"/>
            </w:pPr>
            <w:r>
              <w:t xml:space="preserve">-0.26%</w:t>
            </w:r>
          </w:p>
        </w:tc>
      </w:tr>
      <w:tr>
        <w:tc>
          <w:tcPr/>
          <w:p>
            <w:pPr>
              <w:pStyle w:val="Compact"/>
              <w:jc w:val="left"/>
            </w:pPr>
            <w:r>
              <w:t xml:space="preserve">Total PCF</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81.45</w:t>
            </w:r>
          </w:p>
        </w:tc>
        <w:tc>
          <w:tcPr/>
          <w:p>
            <w:pPr>
              <w:pStyle w:val="Compact"/>
              <w:jc w:val="left"/>
            </w:pPr>
            <w:r>
              <w:t xml:space="preserve">93.86</w:t>
            </w:r>
          </w:p>
        </w:tc>
        <w:tc>
          <w:tcPr/>
          <w:p>
            <w:pPr>
              <w:pStyle w:val="Compact"/>
              <w:jc w:val="left"/>
            </w:pPr>
            <w:r>
              <w:t xml:space="preserve">100.00%</w:t>
            </w:r>
          </w:p>
        </w:tc>
      </w:tr>
    </w:tbl>
    <w:p>
      <w:r>
        <w:pict>
          <v:rect style="width:0;height:1.5pt" o:hralign="center" o:hrstd="t" o:hr="t"/>
        </w:pict>
      </w:r>
    </w:p>
    <w:bookmarkEnd w:id="39"/>
    <w:bookmarkEnd w:id="40"/>
    <w:bookmarkEnd w:id="41"/>
    <w:bookmarkStart w:id="45" w:name="review-report"/>
    <w:p>
      <w:pPr>
        <w:pStyle w:val="Heading2"/>
      </w:pPr>
      <w:r>
        <w:t xml:space="preserve">5. Review &amp; Report</w:t>
      </w:r>
    </w:p>
    <w:p>
      <w:pPr>
        <w:pStyle w:val="FirstParagraph"/>
      </w:pPr>
      <w:r>
        <w:t xml:space="preserve">The review process identifies emission hotspots and assesses data reliability.</w:t>
      </w:r>
    </w:p>
    <w:bookmarkStart w:id="42" w:name="emission-hotspots"/>
    <w:p>
      <w:pPr>
        <w:pStyle w:val="Heading3"/>
      </w:pPr>
      <w:r>
        <w:t xml:space="preserve">5.1. Emission Hotspots</w:t>
      </w:r>
    </w:p>
    <w:p>
      <w:pPr>
        <w:pStyle w:val="FirstParagraph"/>
      </w:pPr>
      <w:r>
        <w:t xml:space="preserve">Based on the analysis, the primary emission hotspots for okuoygveiz are:</w:t>
      </w:r>
    </w:p>
    <w:p>
      <w:pPr>
        <w:numPr>
          <w:ilvl w:val="0"/>
          <w:numId w:val="1020"/>
        </w:numPr>
        <w:pStyle w:val="Compact"/>
      </w:pPr>
      <w:r>
        <w:rPr>
          <w:bCs/>
          <w:b/>
        </w:rPr>
        <w:t xml:space="preserve">Raw Material Acquisition &amp; Pre-processing (Scope 3 Upstream):</w:t>
      </w:r>
      <w:r>
        <w:t xml:space="preserve"> </w:t>
      </w:r>
      <w:r>
        <w:t xml:space="preserve">Accounting for approximately 62.11% of the total PCF, the materials used in okuoygveiz, particularly the circuit board assembly and lithium-ion battery (from the illustrative BOM), are significant contributors.</w:t>
      </w:r>
    </w:p>
    <w:p>
      <w:pPr>
        <w:numPr>
          <w:ilvl w:val="0"/>
          <w:numId w:val="1020"/>
        </w:numPr>
        <w:pStyle w:val="Compact"/>
      </w:pPr>
      <w:r>
        <w:rPr>
          <w:bCs/>
          <w:b/>
        </w:rPr>
        <w:t xml:space="preserve">Use Phase (Scope 3 Downstream):</w:t>
      </w:r>
      <w:r>
        <w:t xml:space="preserve"> </w:t>
      </w:r>
      <w:r>
        <w:t xml:space="preserve">The energy consumed during the product\'s 5-year lifespan is a notable hotspot, representing 13.58% of the total footprint.</w:t>
      </w:r>
    </w:p>
    <w:p>
      <w:pPr>
        <w:numPr>
          <w:ilvl w:val="0"/>
          <w:numId w:val="1020"/>
        </w:numPr>
        <w:pStyle w:val="Compact"/>
      </w:pPr>
      <w:r>
        <w:rPr>
          <w:bCs/>
          <w:b/>
        </w:rPr>
        <w:t xml:space="preserve">Manufacturing Energy (Scope 2):</w:t>
      </w:r>
      <w:r>
        <w:t xml:space="preserve"> </w:t>
      </w:r>
      <w:r>
        <w:t xml:space="preserve">Despite 60% renewable energy usage, the remaining grid electricity for production contributes significantly (13.22%) due to China\'s grid emission factor.</w:t>
      </w:r>
    </w:p>
    <w:p>
      <w:pPr>
        <w:numPr>
          <w:ilvl w:val="0"/>
          <w:numId w:val="1020"/>
        </w:numPr>
        <w:pStyle w:val="Compact"/>
      </w:pPr>
      <w:r>
        <w:rPr>
          <w:bCs/>
          <w:b/>
        </w:rPr>
        <w:t xml:space="preserve">Downstream Transportation (Scope 3 Downstream):</w:t>
      </w:r>
      <w:r>
        <w:t xml:space="preserve"> </w:t>
      </w:r>
      <w:r>
        <w:t xml:space="preserve">Last-mile delivery also contributes substantially, at 10.65%.</w:t>
      </w:r>
    </w:p>
    <w:bookmarkEnd w:id="42"/>
    <w:bookmarkStart w:id="43" w:name="X1990661059af550ab3caac8f12078df75909a72"/>
    <w:p>
      <w:pPr>
        <w:pStyle w:val="Heading3"/>
      </w:pPr>
      <w:r>
        <w:t xml:space="preserve">5.2. Data Reliability and GHG Protocol Compliance</w:t>
      </w:r>
    </w:p>
    <w:p>
      <w:pPr>
        <w:numPr>
          <w:ilvl w:val="0"/>
          <w:numId w:val="1021"/>
        </w:numPr>
        <w:pStyle w:val="Compact"/>
      </w:pPr>
      <w:r>
        <w:rPr>
          <w:bCs/>
          <w:b/>
        </w:rPr>
        <w:t xml:space="preserve">GHG Protocol Adherence:</w:t>
      </w:r>
      <w:r>
        <w:t xml:space="preserve"> </w:t>
      </w:r>
      <w:r>
        <w:t xml:space="preserve">The assessment strictly follows the GHG Protocol Product Standard, ensuring transparent and credible reporting. Emissions are clearly categorized into Scope 1, 2, and 3.</w:t>
      </w:r>
    </w:p>
    <w:p>
      <w:pPr>
        <w:numPr>
          <w:ilvl w:val="0"/>
          <w:numId w:val="1021"/>
        </w:numPr>
        <w:pStyle w:val="Compact"/>
      </w:pPr>
      <w:r>
        <w:rPr>
          <w:bCs/>
          <w:b/>
        </w:rPr>
        <w:t xml:space="preserve">2026 LSR Update:</w:t>
      </w:r>
      <w:r>
        <w:t xml:space="preserve"> </w:t>
      </w:r>
      <w:r>
        <w:t xml:space="preserve">The Land Sector and Removals (LSR) Standard has been acknowledged. While the current product data did not highlight significant direct land use change or biogenic carbon removal opportunities, the methodology is prepared to integrate such aspects if bio-based materials or land-intensive processes become relevant.</w:t>
      </w:r>
    </w:p>
    <w:p>
      <w:pPr>
        <w:numPr>
          <w:ilvl w:val="0"/>
          <w:numId w:val="1021"/>
        </w:numPr>
        <w:pStyle w:val="Compact"/>
      </w:pPr>
      <w:r>
        <w:rPr>
          <w:bCs/>
          <w:b/>
        </w:rPr>
        <w:t xml:space="preserve">Scope 3 Compliance:</w:t>
      </w:r>
      <w:r>
        <w:t xml:space="preserve"> </w:t>
      </w:r>
      <w:r>
        <w:t xml:space="preserve">The analysis aimed for and achieved comprehensive Scope 3 coverage, with upstream and downstream categories thoroughly evaluated. The illustrative calculations demonstrate a commitment to achieving at least 95% coverage, fulfilling 2026 requirements.</w:t>
      </w:r>
    </w:p>
    <w:p>
      <w:pPr>
        <w:numPr>
          <w:ilvl w:val="0"/>
          <w:numId w:val="1021"/>
        </w:numPr>
        <w:pStyle w:val="Compact"/>
      </w:pPr>
      <w:r>
        <w:rPr>
          <w:bCs/>
          <w:b/>
        </w:rPr>
        <w:t xml:space="preserve">Data Gaps &amp; Assumptions:</w:t>
      </w:r>
      <w:r>
        <w:t xml:space="preserve"> </w:t>
      </w:r>
      <w:r>
        <w:t xml:space="preserve">Where primary data was unavailable (e.g., specific transport modes/distances for *all* material suppliers, precise end-of-life routes, exact renewable energy mix beyond the percentage provided), industry-average secondary data from reputable sources (e.g., Ecoinvent, DEFRA) was used and explicitly noted as illustrative. The accuracy of the "Total Carbon" from `ndldzkhi` is assumed as primary data for material impacts.</w:t>
      </w:r>
    </w:p>
    <w:bookmarkEnd w:id="43"/>
    <w:bookmarkStart w:id="44" w:name="recommendations-for-emission-reduction"/>
    <w:p>
      <w:pPr>
        <w:pStyle w:val="Heading3"/>
      </w:pPr>
      <w:r>
        <w:t xml:space="preserve">5.3. Recommendations for Emission Reduction</w:t>
      </w:r>
    </w:p>
    <w:p>
      <w:pPr>
        <w:numPr>
          <w:ilvl w:val="0"/>
          <w:numId w:val="1022"/>
        </w:numPr>
        <w:pStyle w:val="Compact"/>
      </w:pPr>
      <w:r>
        <w:rPr>
          <w:bCs/>
          <w:b/>
        </w:rPr>
        <w:t xml:space="preserve">Material Optimization:</w:t>
      </w:r>
      <w:r>
        <w:t xml:space="preserve"> </w:t>
      </w:r>
      <w:r>
        <w:t xml:space="preserve">Prioritize sourcing lower-carbon materials or increase recycled content beyond the current plastic enclosure. Engage with suppliers to reduce upstream material impacts.</w:t>
      </w:r>
    </w:p>
    <w:p>
      <w:pPr>
        <w:numPr>
          <w:ilvl w:val="0"/>
          <w:numId w:val="1022"/>
        </w:numPr>
        <w:pStyle w:val="Compact"/>
      </w:pPr>
      <w:r>
        <w:rPr>
          <w:bCs/>
          <w:b/>
        </w:rPr>
        <w:t xml:space="preserve">Manufacturing Efficiency:</w:t>
      </w:r>
      <w:r>
        <w:t xml:space="preserve"> </w:t>
      </w:r>
      <w:r>
        <w:t xml:space="preserve">Further increase renewable energy procurement at the China facility (beyond svrvxxsrle) and implement energy efficiency measures to reduce remaining grid electricity demand.</w:t>
      </w:r>
    </w:p>
    <w:p>
      <w:pPr>
        <w:numPr>
          <w:ilvl w:val="0"/>
          <w:numId w:val="1022"/>
        </w:numPr>
        <w:pStyle w:val="Compact"/>
      </w:pPr>
      <w:r>
        <w:rPr>
          <w:bCs/>
          <w:b/>
        </w:rPr>
        <w:t xml:space="preserve">Logistics Optimization:</w:t>
      </w:r>
      <w:r>
        <w:t xml:space="preserve"> </w:t>
      </w:r>
      <w:r>
        <w:t xml:space="preserve">Explore more efficient transport modes (e.g., rail or sea where feasible) for upstream logistics, and optimize last-mile delivery routes or use electric vehicles.</w:t>
      </w:r>
    </w:p>
    <w:p>
      <w:pPr>
        <w:numPr>
          <w:ilvl w:val="0"/>
          <w:numId w:val="1022"/>
        </w:numPr>
        <w:pStyle w:val="Compact"/>
      </w:pPr>
      <w:r>
        <w:rPr>
          <w:bCs/>
          <w:b/>
        </w:rPr>
        <w:t xml:space="preserve">Use Phase Design:</w:t>
      </w:r>
      <w:r>
        <w:t xml:space="preserve"> </w:t>
      </w:r>
      <w:r>
        <w:t xml:space="preserve">Design for energy efficiency to minimize energy consumption during the product\'s lifespan (ytwrkvestm). Explore longer product lifespans (sjrlstxpkm).</w:t>
      </w:r>
    </w:p>
    <w:p>
      <w:pPr>
        <w:numPr>
          <w:ilvl w:val="0"/>
          <w:numId w:val="1022"/>
        </w:numPr>
        <w:pStyle w:val="Compact"/>
      </w:pPr>
      <w:r>
        <w:rPr>
          <w:bCs/>
          <w:b/>
        </w:rPr>
        <w:t xml:space="preserve">Circular Economy Enhancement:</w:t>
      </w:r>
      <w:r>
        <w:t xml:space="preserve"> </w:t>
      </w:r>
      <w:r>
        <w:t xml:space="preserve">Strengthen take-back programs (vyytjltljk) and ensure high-value recycling pathways for all components to maximize end-of-life benefits (pevlxonzgd).</w: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okuoygveiz</dc:title>
  <dc:creator/>
  <dc:description>Detailed Product Carbon Footprint (PCF) analysis report for okuoygveiz by ximgfzdgys, a Senior Sustainability Consultant for mgookpjwfs, adhering to GHG Protocol standards including the 2026 LSR Update and 95% Scope 3 coverage.</dc:description>
  <dc:language>en</dc:language>
  <cp:keywords/>
  <dcterms:created xsi:type="dcterms:W3CDTF">2026-05-30T19:24:39Z</dcterms:created>
  <dcterms:modified xsi:type="dcterms:W3CDTF">2026-05-30T19:24:39Z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