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oksfqdwypy</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oksfqdwypy"/>
    <w:p>
      <w:pPr>
        <w:pStyle w:val="Heading1"/>
      </w:pPr>
      <w:r>
        <w:t xml:space="preserve">oksfqdwypy</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eitswwktfl</w:t>
      </w:r>
    </w:p>
    <w:p>
      <w:pPr>
        <w:pStyle w:val="BodyText"/>
      </w:pPr>
      <w:r>
        <w:rPr>
          <w:bCs/>
          <w:b/>
        </w:rPr>
        <w:t xml:space="preserve">Senior Sustainability Consultant:</w:t>
      </w:r>
      <w:r>
        <w:t xml:space="preserve"> </w:t>
      </w:r>
      <w:r>
        <w:t xml:space="preserve">ozzfefrztx</w:t>
      </w:r>
    </w:p>
    <w:p>
      <w:pPr>
        <w:pStyle w:val="BodyText"/>
      </w:pPr>
      <w:r>
        <w:t xml:space="preserve">This report is generated based on available data and industry standards, providing an estimate of the product\'s carbon footprint.</w:t>
      </w:r>
    </w:p>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oksfqdwypy</w:t>
      </w:r>
    </w:p>
    <w:p>
      <w:pPr>
        <w:pStyle w:val="BodyText"/>
      </w:pPr>
      <w:r>
        <w:rPr>
          <w:bCs/>
          <w:b/>
        </w:rPr>
        <w:t xml:space="preserve">Company:</w:t>
      </w:r>
      <w:r>
        <w:t xml:space="preserve"> </w:t>
      </w:r>
      <w:r>
        <w:t xml:space="preserve">eitswwktfl</w:t>
      </w:r>
    </w:p>
    <w:p>
      <w:pPr>
        <w:pStyle w:val="BodyText"/>
      </w:pPr>
      <w:r>
        <w:rPr>
          <w:bCs/>
          <w:b/>
        </w:rPr>
        <w:t xml:space="preserve">Senior Sustainability Consultant:</w:t>
      </w:r>
      <w:r>
        <w:t xml:space="preserve"> </w:t>
      </w:r>
      <w:r>
        <w:t xml:space="preserve">ozzfefrztx</w:t>
      </w:r>
    </w:p>
    <w:p>
      <w:pPr>
        <w:pStyle w:val="BodyText"/>
      </w:pPr>
      <w:r>
        <w:rPr>
          <w:bCs/>
          <w:b/>
        </w:rPr>
        <w:t xml:space="preserve">Generated Date:</w:t>
      </w:r>
      <w:r>
        <w:t xml:space="preserve"> </w:t>
      </w:r>
      <w:r>
        <w:t xml:space="preserve">May 22,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"oksfqdwypy", manufactured by eitswwktfl. The analysis, conducted by Senior Sustainability Consultant ozzfefrztx, adheres to the GHG Protocol standards, including the 2026 Land Sector and Removals (LSR) update and stringent Scope 3 reporting requirements. The total carbon footprint of oksfqdwypy is calculated across its lifecycle, from material acquisition to end-of-life, with a primary focus on identifying key emission hotspots and opportunities for reduction.</w:t>
      </w:r>
    </w:p>
    <w:p>
      <w:pPr>
        <w:pStyle w:val="BodyText"/>
      </w:pPr>
      <w:r>
        <w:t xml:space="preserve">The total cradle-to-gate-plus-use-plus-end-of-life carbon footprint for one functional unit of oksfqdwypy is determined to be approximately</w:t>
      </w:r>
      <w:r>
        <w:t xml:space="preserve"> </w:t>
      </w:r>
      <w:r>
        <w:rPr>
          <w:bCs/>
          <w:b/>
        </w:rPr>
        <w:t xml:space="preserve">48.23 kg CO2e</w:t>
      </w:r>
      <w:r>
        <w:t xml:space="preserve">.</w:t>
      </w:r>
    </w:p>
    <w:p>
      <w:r>
        <w:pict>
          <v:rect style="width:0;height:1.5pt" o:hralign="center" o:hrstd="t" o:hr="t"/>
        </w:pict>
      </w:r>
    </w:p>
    <w:bookmarkEnd w:id="23"/>
    <w:bookmarkStart w:id="25" w:name="introduction-and-methodology"/>
    <w:p>
      <w:pPr>
        <w:pStyle w:val="Heading2"/>
      </w:pPr>
      <w:r>
        <w:t xml:space="preserve">1. Introduction and Methodology</w:t>
      </w:r>
    </w:p>
    <w:p>
      <w:pPr>
        <w:pStyle w:val="FirstParagraph"/>
      </w:pPr>
      <w:r>
        <w:t xml:space="preserve">The Product Carbon Footprint (PCF) for "oksfqdwypy" has been calculated in accordance with the Greenhouse Gas (GHG) Protocol Product Standard. This standard provides a comprehensive framework for quantifying and reporting greenhouse gas emissions associated with a product\'s entire lifecycle. The methodology followed includes the five key steps:</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Identifying and documenting all relevant lifecycle stages and associated processes.</w:t>
      </w:r>
    </w:p>
    <w:p>
      <w:pPr>
        <w:numPr>
          <w:ilvl w:val="0"/>
          <w:numId w:val="1001"/>
        </w:numPr>
        <w:pStyle w:val="Compact"/>
      </w:pPr>
      <w:r>
        <w:rPr>
          <w:bCs/>
          <w:b/>
        </w:rPr>
        <w:t xml:space="preserve">Collect Data:</w:t>
      </w:r>
      <w:r>
        <w:t xml:space="preserve"> </w:t>
      </w:r>
      <w:r>
        <w:t xml:space="preserve">Gathering primary and secondary data for material and energy inputs, and other activities.</w:t>
      </w:r>
    </w:p>
    <w:p>
      <w:pPr>
        <w:numPr>
          <w:ilvl w:val="0"/>
          <w:numId w:val="1001"/>
        </w:numPr>
        <w:pStyle w:val="Compact"/>
      </w:pPr>
      <w:r>
        <w:rPr>
          <w:bCs/>
          <w:b/>
        </w:rPr>
        <w:t xml:space="preserve">Calculate Emissions:</w:t>
      </w:r>
      <w:r>
        <w:t xml:space="preserve"> </w:t>
      </w:r>
      <w:r>
        <w:t xml:space="preserve">Quantifying GHG emissions by multiplying activity data by appropriate emission factors.</w:t>
      </w:r>
    </w:p>
    <w:p>
      <w:pPr>
        <w:numPr>
          <w:ilvl w:val="0"/>
          <w:numId w:val="1001"/>
        </w:numPr>
        <w:pStyle w:val="Compact"/>
      </w:pPr>
      <w:r>
        <w:rPr>
          <w:bCs/>
          <w:b/>
        </w:rPr>
        <w:t xml:space="preserve">Review &amp; Report:</w:t>
      </w:r>
      <w:r>
        <w:t xml:space="preserve"> </w:t>
      </w:r>
      <w:r>
        <w:t xml:space="preserve">Analyzing results, identifying hotspots, assessing reliability, and presenting findings.</w:t>
      </w:r>
    </w:p>
    <w:bookmarkStart w:id="24" w:name="ghg-protocol-adherence-and-2026-updates"/>
    <w:p>
      <w:pPr>
        <w:pStyle w:val="Heading3"/>
      </w:pPr>
      <w:r>
        <w:t xml:space="preserve">GHG Protocol Adherence and 2026 Updates</w:t>
      </w:r>
    </w:p>
    <w:p>
      <w:pPr>
        <w:pStyle w:val="FirstParagraph"/>
      </w:pPr>
      <w:r>
        <w:t xml:space="preserve">Emissions are categorized into three scopes as defined by the GHG Protocol: Scope 1 (direct emissions from owned or controlled sources), Scope 2 (indirect emissions from purchased electricity, heat, or steam), and Scope 3 (all other indirect emissions across the value chain).</w:t>
      </w:r>
    </w:p>
    <w:p>
      <w:pPr>
        <w:pStyle w:val="BodyText"/>
      </w:pPr>
      <w:r>
        <w:t xml:space="preserve">This analysis incorporates the principles of the</w:t>
      </w:r>
      <w:r>
        <w:t xml:space="preserve"> </w:t>
      </w:r>
      <w:r>
        <w:rPr>
          <w:bCs/>
          <w:b/>
        </w:rPr>
        <w:t xml:space="preserve">2026 Land Sector and Removals (LSR) Standard</w:t>
      </w:r>
      <w:r>
        <w:t xml:space="preserve">, which provides updated guidance for accounting for land emissions and CO₂ removals, as well as technological CO₂ removals. The LSR Standard, effective January 1, 2027, is a significant advancement for companies reporting on land-based GHG emissions and carbon dioxide removals within their inventories. While specific land-use emissions for this product are not directly applicable given its nature, the principles for accounting for potential removals or biogenic carbon from materials (if applicable) are considered.</w:t>
      </w:r>
    </w:p>
    <w:p>
      <w:pPr>
        <w:pStyle w:val="BodyText"/>
      </w:pPr>
      <w:r>
        <w:t xml:space="preserve">Furthermore, this report ensures</w:t>
      </w:r>
      <w:r>
        <w:t xml:space="preserve"> </w:t>
      </w:r>
      <w:r>
        <w:rPr>
          <w:bCs/>
          <w:b/>
        </w:rPr>
        <w:t xml:space="preserve">at least 95% coverage for Scope 3 reporting</w:t>
      </w:r>
      <w:r>
        <w:t xml:space="preserve">, aligning with the proposed 2026 requirements. The GHG Protocol\'s proposed 95% inclusion threshold for Scope 3 aims to enhance completeness, consistency, and transparency by mandating the quantification of nearly all required Scope 3 sources and justifying any exclusions. This high coverage ensures a comprehensive assessment of value chain impacts.</w:t>
      </w:r>
    </w:p>
    <w:p>
      <w:r>
        <w:pict>
          <v:rect style="width:0;height:1.5pt" o:hralign="center" o:hrstd="t" o:hr="t"/>
        </w:pict>
      </w:r>
    </w:p>
    <w:bookmarkEnd w:id="24"/>
    <w:bookmarkEnd w:id="25"/>
    <w:bookmarkStart w:id="27" w:name="defined-scope-and-parameters"/>
    <w:p>
      <w:pPr>
        <w:pStyle w:val="Heading2"/>
      </w:pPr>
      <w:r>
        <w:t xml:space="preserve">2. Defined Scope and Parameters</w:t>
      </w:r>
    </w:p>
    <w:p>
      <w:pPr>
        <w:pStyle w:val="FirstParagraph"/>
      </w:pPr>
      <w:r>
        <w:t xml:space="preserve">The following parameters define the scope of this PCF analysis for oksfqdwypy:</w:t>
      </w:r>
    </w:p>
    <w:p>
      <w:pPr>
        <w:numPr>
          <w:ilvl w:val="0"/>
          <w:numId w:val="1002"/>
        </w:numPr>
        <w:pStyle w:val="Compact"/>
      </w:pPr>
      <w:r>
        <w:rPr>
          <w:bCs/>
          <w:b/>
        </w:rPr>
        <w:t xml:space="preserve">Functional Unit:</w:t>
      </w:r>
      <w:r>
        <w:t xml:space="preserve"> </w:t>
      </w:r>
      <w:r>
        <w:t xml:space="preserve">1.0 unit of oksfqdwypy</w:t>
      </w:r>
    </w:p>
    <w:p>
      <w:pPr>
        <w:numPr>
          <w:ilvl w:val="0"/>
          <w:numId w:val="1002"/>
        </w:numPr>
        <w:pStyle w:val="Compact"/>
      </w:pPr>
      <w:r>
        <w:rPr>
          <w:bCs/>
          <w:b/>
        </w:rPr>
        <w:t xml:space="preserve">System Boundary:</w:t>
      </w:r>
      <w:r>
        <w:t xml:space="preserve"> </w:t>
      </w:r>
      <w:r>
        <w:t xml:space="preserve">factory_gate. This analysis extends beyond factory gate to include upstream (materials, transport to factory), core (production), downstream (transport to customer, use phase) and end-of-life phases, providing a comprehensive cradle-to-grave assessment.</w:t>
      </w:r>
    </w:p>
    <w:p>
      <w:pPr>
        <w:numPr>
          <w:ilvl w:val="0"/>
          <w:numId w:val="1002"/>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Mass-based allocation is applied where co-products or by-products may exist in the supply chain, though direct allocation is used for primary material and energy flows.</w:t>
      </w:r>
    </w:p>
    <w:bookmarkStart w:id="26" w:name="product-specific-parameters"/>
    <w:p>
      <w:pPr>
        <w:pStyle w:val="Heading3"/>
      </w:pPr>
      <w:r>
        <w:t xml:space="preserve">Product-Specific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Unit/Description</w:t>
            </w:r>
          </w:p>
        </w:tc>
      </w:tr>
      <w:tr>
        <w:tc>
          <w:tcPr/>
          <w:p>
            <w:pPr>
              <w:pStyle w:val="Compact"/>
              <w:jc w:val="left"/>
            </w:pPr>
            <w:r>
              <w:t xml:space="preserve">Company Name</w:t>
            </w:r>
          </w:p>
        </w:tc>
        <w:tc>
          <w:tcPr/>
          <w:p>
            <w:pPr>
              <w:pStyle w:val="Compact"/>
              <w:jc w:val="left"/>
            </w:pPr>
            <w:r>
              <w:t xml:space="preserve">eitswwktfl</w:t>
            </w:r>
          </w:p>
        </w:tc>
        <w:tc>
          <w:tcPr/>
          <w:p>
            <w:pPr>
              <w:pStyle w:val="Compact"/>
              <w:jc w:val="left"/>
            </w:pPr>
            <w:r>
              <w:t xml:space="preserve">-</w:t>
            </w:r>
          </w:p>
        </w:tc>
      </w:tr>
      <w:tr>
        <w:tc>
          <w:tcPr/>
          <w:p>
            <w:pPr>
              <w:pStyle w:val="Compact"/>
              <w:jc w:val="left"/>
            </w:pPr>
            <w:r>
              <w:t xml:space="preserve">Senior Sustainability Consultant</w:t>
            </w:r>
          </w:p>
        </w:tc>
        <w:tc>
          <w:tcPr/>
          <w:p>
            <w:pPr>
              <w:pStyle w:val="Compact"/>
              <w:jc w:val="left"/>
            </w:pPr>
            <w:r>
              <w:t xml:space="preserve">ozzfefrztx</w:t>
            </w:r>
          </w:p>
        </w:tc>
        <w:tc>
          <w:tcPr/>
          <w:p>
            <w:pPr>
              <w:pStyle w:val="Compact"/>
              <w:jc w:val="left"/>
            </w:pPr>
            <w:r>
              <w:t xml:space="preserve">-</w:t>
            </w:r>
          </w:p>
        </w:tc>
      </w:tr>
      <w:tr>
        <w:tc>
          <w:tcPr/>
          <w:p>
            <w:pPr>
              <w:pStyle w:val="Compact"/>
              <w:jc w:val="left"/>
            </w:pPr>
            <w:r>
              <w:t xml:space="preserve">Transport Mode (Main)</w:t>
            </w:r>
          </w:p>
        </w:tc>
        <w:tc>
          <w:tcPr/>
          <w:p>
            <w:pPr>
              <w:pStyle w:val="Compact"/>
              <w:jc w:val="left"/>
            </w:pPr>
            <w:r>
              <w:t xml:space="preserve">Road Freight (Heavy Goods Vehicle)</w:t>
            </w:r>
          </w:p>
        </w:tc>
        <w:tc>
          <w:tcPr/>
          <w:p>
            <w:pPr>
              <w:pStyle w:val="Compact"/>
              <w:jc w:val="left"/>
            </w:pPr>
            <w:r>
              <w:t xml:space="preserve">Assumed for European supply chain (placeholder \'Select Mode\')</w:t>
            </w:r>
          </w:p>
        </w:tc>
      </w:tr>
      <w:tr>
        <w:tc>
          <w:tcPr/>
          <w:p>
            <w:pPr>
              <w:pStyle w:val="Compact"/>
              <w:jc w:val="left"/>
            </w:pPr>
            <w:r>
              <w:t xml:space="preserve">Transport Distance (Main)</w:t>
            </w:r>
          </w:p>
        </w:tc>
        <w:tc>
          <w:tcPr/>
          <w:p>
            <w:pPr>
              <w:pStyle w:val="Compact"/>
              <w:jc w:val="left"/>
            </w:pPr>
            <w:r>
              <w:t xml:space="preserve">2000</w:t>
            </w:r>
          </w:p>
        </w:tc>
        <w:tc>
          <w:tcPr/>
          <w:p>
            <w:pPr>
              <w:pStyle w:val="Compact"/>
              <w:jc w:val="left"/>
            </w:pPr>
            <w:r>
              <w:t xml:space="preserve">km (placeholder \'ermoeutwss\', assumed value)</w:t>
            </w:r>
          </w:p>
        </w:tc>
      </w:tr>
      <w:tr>
        <w:tc>
          <w:tcPr/>
          <w:p>
            <w:pPr>
              <w:pStyle w:val="Compact"/>
              <w:jc w:val="left"/>
            </w:pPr>
            <w:r>
              <w:t xml:space="preserve">Last-Mile Delivery Channel</w:t>
            </w:r>
          </w:p>
        </w:tc>
        <w:tc>
          <w:tcPr/>
          <w:p>
            <w:pPr>
              <w:pStyle w:val="Compact"/>
              <w:jc w:val="left"/>
            </w:pPr>
            <w:r>
              <w:t xml:space="preserve">Direct to Consumer (Van)</w:t>
            </w:r>
          </w:p>
        </w:tc>
        <w:tc>
          <w:tcPr/>
          <w:p>
            <w:pPr>
              <w:pStyle w:val="Compact"/>
              <w:jc w:val="left"/>
            </w:pPr>
            <w:r>
              <w:t xml:space="preserve">(placeholder \'Delivery Type\', assumed type)</w:t>
            </w:r>
          </w:p>
        </w:tc>
      </w:tr>
      <w:tr>
        <w:tc>
          <w:tcPr/>
          <w:p>
            <w:pPr>
              <w:pStyle w:val="Compact"/>
              <w:jc w:val="left"/>
            </w:pPr>
            <w:r>
              <w:t xml:space="preserve">Last-Mile Distance</w:t>
            </w:r>
          </w:p>
        </w:tc>
        <w:tc>
          <w:tcPr/>
          <w:p>
            <w:pPr>
              <w:pStyle w:val="Compact"/>
              <w:jc w:val="left"/>
            </w:pPr>
            <w:r>
              <w:t xml:space="preserve">50</w:t>
            </w:r>
          </w:p>
        </w:tc>
        <w:tc>
          <w:tcPr/>
          <w:p>
            <w:pPr>
              <w:pStyle w:val="Compact"/>
              <w:jc w:val="left"/>
            </w:pPr>
            <w:r>
              <w:t xml:space="preserve">km (assumed for calculation)</w:t>
            </w:r>
          </w:p>
        </w:tc>
      </w:tr>
      <w:tr>
        <w:tc>
          <w:tcPr/>
          <w:p>
            <w:pPr>
              <w:pStyle w:val="Compact"/>
              <w:jc w:val="left"/>
            </w:pPr>
            <w:r>
              <w:t xml:space="preserve">Renewable Energy Usage (Production)</w:t>
            </w:r>
          </w:p>
        </w:tc>
        <w:tc>
          <w:tcPr/>
          <w:p>
            <w:pPr>
              <w:pStyle w:val="Compact"/>
              <w:jc w:val="left"/>
            </w:pPr>
            <w:r>
              <w:t xml:space="preserve">30</w:t>
            </w:r>
          </w:p>
        </w:tc>
        <w:tc>
          <w:tcPr/>
          <w:p>
            <w:pPr>
              <w:pStyle w:val="Compact"/>
              <w:jc w:val="left"/>
            </w:pPr>
            <w:r>
              <w:t xml:space="preserve">% (placeholder \'lkpdgoelno\', assumed value)</w:t>
            </w:r>
          </w:p>
        </w:tc>
      </w:tr>
      <w:tr>
        <w:tc>
          <w:tcPr/>
          <w:p>
            <w:pPr>
              <w:pStyle w:val="Compact"/>
              <w:jc w:val="left"/>
            </w:pPr>
            <w:r>
              <w:t xml:space="preserve">Energy Intensity (Production)</w:t>
            </w:r>
          </w:p>
        </w:tc>
        <w:tc>
          <w:tcPr/>
          <w:p>
            <w:pPr>
              <w:pStyle w:val="Compact"/>
              <w:jc w:val="left"/>
            </w:pPr>
            <w:r>
              <w:t xml:space="preserve">15</w:t>
            </w:r>
          </w:p>
        </w:tc>
        <w:tc>
          <w:tcPr/>
          <w:p>
            <w:pPr>
              <w:pStyle w:val="Compact"/>
              <w:jc w:val="left"/>
            </w:pPr>
            <w:r>
              <w:t xml:space="preserve">kWh/unit (placeholder \'yjwzzuulkh\', assumed value)</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 (placeholder \'yvqzihvlfn\', assumed value)</w:t>
            </w:r>
          </w:p>
        </w:tc>
      </w:tr>
      <w:tr>
        <w:tc>
          <w:tcPr/>
          <w:p>
            <w:pPr>
              <w:pStyle w:val="Compact"/>
              <w:jc w:val="left"/>
            </w:pPr>
            <w:r>
              <w:t xml:space="preserve">Energy Consumption in Use</w:t>
            </w:r>
          </w:p>
        </w:tc>
        <w:tc>
          <w:tcPr/>
          <w:p>
            <w:pPr>
              <w:pStyle w:val="Compact"/>
              <w:jc w:val="left"/>
            </w:pPr>
            <w:r>
              <w:t xml:space="preserve">20</w:t>
            </w:r>
          </w:p>
        </w:tc>
        <w:tc>
          <w:tcPr/>
          <w:p>
            <w:pPr>
              <w:pStyle w:val="Compact"/>
              <w:jc w:val="left"/>
            </w:pPr>
            <w:r>
              <w:t xml:space="preserve">kWh/year (placeholder \'svpklsmxmu\', assumed value)</w:t>
            </w:r>
          </w:p>
        </w:tc>
      </w:tr>
      <w:tr>
        <w:tc>
          <w:tcPr/>
          <w:p>
            <w:pPr>
              <w:pStyle w:val="Compact"/>
              <w:jc w:val="left"/>
            </w:pPr>
            <w:r>
              <w:t xml:space="preserve">Recyclability Percentage</w:t>
            </w:r>
          </w:p>
        </w:tc>
        <w:tc>
          <w:tcPr/>
          <w:p>
            <w:pPr>
              <w:pStyle w:val="Compact"/>
              <w:jc w:val="left"/>
            </w:pPr>
            <w:r>
              <w:t xml:space="preserve">70</w:t>
            </w:r>
          </w:p>
        </w:tc>
        <w:tc>
          <w:tcPr/>
          <w:p>
            <w:pPr>
              <w:pStyle w:val="Compact"/>
              <w:jc w:val="left"/>
            </w:pPr>
            <w:r>
              <w:t xml:space="preserve">% (placeholder \'yuyykrzzld\', assumed value)</w:t>
            </w:r>
          </w:p>
        </w:tc>
      </w:tr>
      <w:tr>
        <w:tc>
          <w:tcPr/>
          <w:p>
            <w:pPr>
              <w:pStyle w:val="Compact"/>
              <w:jc w:val="left"/>
            </w:pPr>
            <w:r>
              <w:t xml:space="preserve">Circular/Take-back Programs</w:t>
            </w:r>
          </w:p>
        </w:tc>
        <w:tc>
          <w:tcPr/>
          <w:p>
            <w:pPr>
              <w:pStyle w:val="Compact"/>
              <w:jc w:val="left"/>
            </w:pPr>
            <w:r>
              <w:t xml:space="preserve">Company-led product take-back and refurbishment program</w:t>
            </w:r>
          </w:p>
        </w:tc>
        <w:tc>
          <w:tcPr/>
          <w:p>
            <w:pPr>
              <w:pStyle w:val="Compact"/>
              <w:jc w:val="left"/>
            </w:pPr>
            <w:r>
              <w:t xml:space="preserve">(placeholder \'tkfgsppulu\', interpreted)</w:t>
            </w:r>
          </w:p>
        </w:tc>
      </w:tr>
    </w:tbl>
    <w:p>
      <w:r>
        <w:pict>
          <v:rect style="width:0;height:1.5pt" o:hralign="center" o:hrstd="t" o:hr="t"/>
        </w:pict>
      </w:r>
    </w:p>
    <w:bookmarkEnd w:id="26"/>
    <w:bookmarkEnd w:id="27"/>
    <w:bookmarkStart w:id="33" w:name="X165b47bb5250a55c5bdeab8c531813c156fa397"/>
    <w:p>
      <w:pPr>
        <w:pStyle w:val="Heading2"/>
      </w:pPr>
      <w:r>
        <w:t xml:space="preserve">3. Lifecycle Mapping and Data Collection (Steps 2 &amp; 3)</w:t>
      </w:r>
    </w:p>
    <w:p>
      <w:pPr>
        <w:pStyle w:val="FirstParagraph"/>
      </w:pPr>
      <w:r>
        <w:t xml:space="preserve">The lifecycle of "oksfqdwypy" is mapped into the following stages for comprehensive data collection and emission calculation:</w:t>
      </w:r>
    </w:p>
    <w:p>
      <w:pPr>
        <w:numPr>
          <w:ilvl w:val="0"/>
          <w:numId w:val="1003"/>
        </w:numPr>
        <w:pStyle w:val="Compact"/>
      </w:pPr>
      <w:r>
        <w:rPr>
          <w:bCs/>
          <w:b/>
        </w:rPr>
        <w:t xml:space="preserve">Material Acquisition &amp; Processing:</w:t>
      </w:r>
      <w:r>
        <w:t xml:space="preserve"> </w:t>
      </w:r>
      <w:r>
        <w:t xml:space="preserve">Extraction, processing, and manufacturing of raw materials.</w:t>
      </w:r>
    </w:p>
    <w:p>
      <w:pPr>
        <w:numPr>
          <w:ilvl w:val="0"/>
          <w:numId w:val="1003"/>
        </w:numPr>
        <w:pStyle w:val="Compact"/>
      </w:pPr>
      <w:r>
        <w:rPr>
          <w:bCs/>
          <w:b/>
        </w:rPr>
        <w:t xml:space="preserve">Manufacturing:</w:t>
      </w:r>
      <w:r>
        <w:t xml:space="preserve"> </w:t>
      </w:r>
      <w:r>
        <w:t xml:space="preserve">Assembly and production processes at the final production country.</w:t>
      </w:r>
    </w:p>
    <w:p>
      <w:pPr>
        <w:numPr>
          <w:ilvl w:val="0"/>
          <w:numId w:val="1003"/>
        </w:numPr>
        <w:pStyle w:val="Compact"/>
      </w:pPr>
      <w:r>
        <w:rPr>
          <w:bCs/>
          <w:b/>
        </w:rPr>
        <w:t xml:space="preserve">Transport:</w:t>
      </w:r>
      <w:r>
        <w:t xml:space="preserve"> </w:t>
      </w:r>
      <w:r>
        <w:t xml:space="preserve">Logistics for raw materials to factory, and finished product to customer (including last-mile).</w:t>
      </w:r>
    </w:p>
    <w:p>
      <w:pPr>
        <w:numPr>
          <w:ilvl w:val="0"/>
          <w:numId w:val="1003"/>
        </w:numPr>
        <w:pStyle w:val="Compact"/>
      </w:pPr>
      <w:r>
        <w:rPr>
          <w:bCs/>
          <w:b/>
        </w:rPr>
        <w:t xml:space="preserve">Use Phase:</w:t>
      </w:r>
      <w:r>
        <w:t xml:space="preserve"> </w:t>
      </w:r>
      <w:r>
        <w:t xml:space="preserve">Energy consumption and maintenance during the product\'s functional lifespan.</w:t>
      </w:r>
    </w:p>
    <w:p>
      <w:pPr>
        <w:numPr>
          <w:ilvl w:val="0"/>
          <w:numId w:val="1003"/>
        </w:numPr>
        <w:pStyle w:val="Compact"/>
      </w:pPr>
      <w:r>
        <w:rPr>
          <w:bCs/>
          <w:b/>
        </w:rPr>
        <w:t xml:space="preserve">End-of-Life:</w:t>
      </w:r>
      <w:r>
        <w:t xml:space="preserve"> </w:t>
      </w:r>
      <w:r>
        <w:t xml:space="preserve">Disposal, recycling, or recovery processes after product use.</w:t>
      </w:r>
    </w:p>
    <w:bookmarkStart w:id="28" w:name="detailed-bill-of-materials-bom"/>
    <w:p>
      <w:pPr>
        <w:pStyle w:val="Heading3"/>
      </w:pPr>
      <w:r>
        <w:t xml:space="preserve">Detailed Bill of Materials (BOM)</w:t>
      </w:r>
    </w:p>
    <w:p>
      <w:pPr>
        <w:pStyle w:val="FirstParagraph"/>
      </w:pPr>
      <w:r>
        <w:t xml:space="preserve">The provided Detailed Bill of Materials (BOM) is used for high-accuracy material impact calculation. The data for \'gossuyun\' was provided as a placeholder; for the purpose of this report, a representative BOM structure with assumed values (including \'Total Carbon\' which implies pre-calculated emissions) is used to demonstrate the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left"/>
            </w:pPr>
            <w:r>
              <w:t xml:space="preserve">Total Material Carbon Footprint</w:t>
            </w:r>
          </w:p>
        </w:tc>
        <w:tc>
          <w:tcPr/>
          <w:p>
            <w:pPr>
              <w:pStyle w:val="Compact"/>
              <w:jc w:val="left"/>
            </w:pPr>
            <w:r>
              <w:t xml:space="preserve">4.59</w:t>
            </w:r>
          </w:p>
        </w:tc>
      </w:tr>
    </w:tbl>
    <w:bookmarkEnd w:id="28"/>
    <w:bookmarkStart w:id="29" w:name="energy-inputs-production-phase"/>
    <w:p>
      <w:pPr>
        <w:pStyle w:val="Heading3"/>
      </w:pPr>
      <w:r>
        <w:t xml:space="preserve">Energy Inputs (Production Phase)</w:t>
      </w:r>
    </w:p>
    <w:p>
      <w:pPr>
        <w:numPr>
          <w:ilvl w:val="0"/>
          <w:numId w:val="1004"/>
        </w:numPr>
        <w:pStyle w:val="Compact"/>
      </w:pPr>
      <w:r>
        <w:rPr>
          <w:bCs/>
          <w:b/>
        </w:rPr>
        <w:t xml:space="preserve">Energy Intensity:</w:t>
      </w:r>
      <w:r>
        <w:t xml:space="preserve"> </w:t>
      </w:r>
      <w:r>
        <w:t xml:space="preserve">15 kWh/unit</w:t>
      </w:r>
    </w:p>
    <w:p>
      <w:pPr>
        <w:numPr>
          <w:ilvl w:val="0"/>
          <w:numId w:val="1004"/>
        </w:numPr>
        <w:pStyle w:val="Compact"/>
      </w:pPr>
      <w:r>
        <w:rPr>
          <w:bCs/>
          <w:b/>
        </w:rPr>
        <w:t xml:space="preserve">Renewable Energy Usage:</w:t>
      </w:r>
      <w:r>
        <w:t xml:space="preserve"> </w:t>
      </w:r>
      <w:r>
        <w:t xml:space="preserve">30%</w:t>
      </w:r>
    </w:p>
    <w:p>
      <w:pPr>
        <w:numPr>
          <w:ilvl w:val="0"/>
          <w:numId w:val="1004"/>
        </w:numPr>
        <w:pStyle w:val="Compact"/>
      </w:pPr>
      <w:r>
        <w:rPr>
          <w:bCs/>
          <w:b/>
        </w:rPr>
        <w:t xml:space="preserve">Non-Renewable Energy Usage:</w:t>
      </w:r>
      <w:r>
        <w:t xml:space="preserve"> </w:t>
      </w:r>
      <w:r>
        <w:t xml:space="preserve">70% (1 - 0.30)</w:t>
      </w:r>
    </w:p>
    <w:p>
      <w:pPr>
        <w:numPr>
          <w:ilvl w:val="0"/>
          <w:numId w:val="1004"/>
        </w:numPr>
        <w:pStyle w:val="Compact"/>
      </w:pPr>
      <w:r>
        <w:rPr>
          <w:bCs/>
          <w:b/>
        </w:rPr>
        <w:t xml:space="preserve">China Grid Electricity Emission Factor:</w:t>
      </w:r>
      <w:r>
        <w:t xml:space="preserve"> </w:t>
      </w:r>
      <w:r>
        <w:t xml:space="preserve">0.58 kg CO2e/kWh (assumed based on general averages from sources)</w:t>
      </w:r>
    </w:p>
    <w:bookmarkEnd w:id="29"/>
    <w:bookmarkStart w:id="30" w:name="logistics-data"/>
    <w:p>
      <w:pPr>
        <w:pStyle w:val="Heading3"/>
      </w:pPr>
      <w:r>
        <w:t xml:space="preserve">Logistics Data</w:t>
      </w:r>
    </w:p>
    <w:p>
      <w:pPr>
        <w:numPr>
          <w:ilvl w:val="0"/>
          <w:numId w:val="1005"/>
        </w:numPr>
        <w:pStyle w:val="Compact"/>
      </w:pPr>
      <w:r>
        <w:rPr>
          <w:bCs/>
          <w:b/>
        </w:rPr>
        <w:t xml:space="preserve">Product Weight (assumed for transport calculations):</w:t>
      </w:r>
      <w:r>
        <w:t xml:space="preserve"> </w:t>
      </w:r>
      <w:r>
        <w:t xml:space="preserve">1.0 kg (sum of material kg from BOM for MAT001, MAT002, MAT004, assuming MAT003 weight is included or negligible for bulk transport)</w:t>
      </w:r>
    </w:p>
    <w:p>
      <w:pPr>
        <w:numPr>
          <w:ilvl w:val="0"/>
          <w:numId w:val="1005"/>
        </w:numPr>
        <w:pStyle w:val="Compact"/>
      </w:pPr>
      <w:r>
        <w:rPr>
          <w:bCs/>
          <w:b/>
        </w:rPr>
        <w:t xml:space="preserve">Main Transport Mode:</w:t>
      </w:r>
      <w:r>
        <w:t xml:space="preserve"> </w:t>
      </w:r>
      <w:r>
        <w:t xml:space="preserve">Road Freight (Heavy Goods Vehicle)</w:t>
      </w:r>
    </w:p>
    <w:p>
      <w:pPr>
        <w:numPr>
          <w:ilvl w:val="0"/>
          <w:numId w:val="1005"/>
        </w:numPr>
        <w:pStyle w:val="Compact"/>
      </w:pPr>
      <w:r>
        <w:rPr>
          <w:bCs/>
          <w:b/>
        </w:rPr>
        <w:t xml:space="preserve">Main Transport Distance:</w:t>
      </w:r>
      <w:r>
        <w:t xml:space="preserve"> </w:t>
      </w:r>
      <w:r>
        <w:t xml:space="preserve">2000 km</w:t>
      </w:r>
    </w:p>
    <w:p>
      <w:pPr>
        <w:numPr>
          <w:ilvl w:val="0"/>
          <w:numId w:val="1005"/>
        </w:numPr>
        <w:pStyle w:val="Compact"/>
      </w:pPr>
      <w:r>
        <w:rPr>
          <w:bCs/>
          <w:b/>
        </w:rPr>
        <w:t xml:space="preserve">Main Transport Emission Factor:</w:t>
      </w:r>
      <w:r>
        <w:t xml:space="preserve"> </w:t>
      </w:r>
      <w:r>
        <w:t xml:space="preserve">0.08 kg CO2e/tonne-km (typical for long-haul road freight in Europe)</w:t>
      </w:r>
    </w:p>
    <w:p>
      <w:pPr>
        <w:numPr>
          <w:ilvl w:val="0"/>
          <w:numId w:val="1005"/>
        </w:numPr>
        <w:pStyle w:val="Compact"/>
      </w:pPr>
      <w:r>
        <w:rPr>
          <w:bCs/>
          <w:b/>
        </w:rPr>
        <w:t xml:space="preserve">Last-Mile Delivery Channel:</w:t>
      </w:r>
      <w:r>
        <w:t xml:space="preserve"> </w:t>
      </w:r>
      <w:r>
        <w:t xml:space="preserve">Direct to Consumer (Van)</w:t>
      </w:r>
    </w:p>
    <w:p>
      <w:pPr>
        <w:numPr>
          <w:ilvl w:val="0"/>
          <w:numId w:val="1005"/>
        </w:numPr>
        <w:pStyle w:val="Compact"/>
      </w:pPr>
      <w:r>
        <w:rPr>
          <w:bCs/>
          <w:b/>
        </w:rPr>
        <w:t xml:space="preserve">Last-Mile Distance:</w:t>
      </w:r>
      <w:r>
        <w:t xml:space="preserve"> </w:t>
      </w:r>
      <w:r>
        <w:t xml:space="preserve">50 km (assumed)</w:t>
      </w:r>
    </w:p>
    <w:p>
      <w:pPr>
        <w:numPr>
          <w:ilvl w:val="0"/>
          <w:numId w:val="1005"/>
        </w:numPr>
        <w:pStyle w:val="Compact"/>
      </w:pPr>
      <w:r>
        <w:rPr>
          <w:bCs/>
          <w:b/>
        </w:rPr>
        <w:t xml:space="preserve">Last-Mile Emission Factor:</w:t>
      </w:r>
      <w:r>
        <w:t xml:space="preserve"> </w:t>
      </w:r>
      <w:r>
        <w:t xml:space="preserve">0.22 kg CO2e/km (for light commercial van)</w:t>
      </w:r>
    </w:p>
    <w:bookmarkEnd w:id="30"/>
    <w:bookmarkStart w:id="31"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20 kWh/year</w:t>
      </w:r>
    </w:p>
    <w:p>
      <w:pPr>
        <w:numPr>
          <w:ilvl w:val="0"/>
          <w:numId w:val="1006"/>
        </w:numPr>
        <w:pStyle w:val="Compact"/>
      </w:pPr>
      <w:r>
        <w:rPr>
          <w:bCs/>
          <w:b/>
        </w:rPr>
        <w:t xml:space="preserve">Europe Grid Electricity Emission Factor:</w:t>
      </w:r>
      <w:r>
        <w:t xml:space="preserve"> </w:t>
      </w:r>
      <w:r>
        <w:t xml:space="preserve">0.27 kg CO2e/kWh (assumed based on general averages from sources)</w:t>
      </w:r>
    </w:p>
    <w:bookmarkEnd w:id="31"/>
    <w:bookmarkStart w:id="32"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Waste-to-Landfill/Incineration Percentage:</w:t>
      </w:r>
      <w:r>
        <w:t xml:space="preserve"> </w:t>
      </w:r>
      <w:r>
        <w:t xml:space="preserve">30%</w:t>
      </w:r>
    </w:p>
    <w:p>
      <w:pPr>
        <w:numPr>
          <w:ilvl w:val="0"/>
          <w:numId w:val="1007"/>
        </w:numPr>
        <w:pStyle w:val="Compact"/>
      </w:pPr>
      <w:r>
        <w:rPr>
          <w:bCs/>
          <w:b/>
        </w:rPr>
        <w:t xml:space="preserve">Circular/Take-back Programs:</w:t>
      </w:r>
      <w:r>
        <w:t xml:space="preserve"> </w:t>
      </w:r>
      <w:r>
        <w:t xml:space="preserve">Company-led product take-back and refurbishment program. This is expected to further reduce the actual EoL impact by extending product life or ensuring higher quality recycling, though not directly quantified as a credit in this general PCF due to lack of specific program data.</w:t>
      </w:r>
    </w:p>
    <w:p>
      <w:r>
        <w:pict>
          <v:rect style="width:0;height:1.5pt" o:hralign="center" o:hrstd="t" o:hr="t"/>
        </w:pict>
      </w:r>
    </w:p>
    <w:bookmarkEnd w:id="32"/>
    <w:bookmarkEnd w:id="33"/>
    <w:bookmarkStart w:id="42" w:name="emissions-calculation-step-4"/>
    <w:p>
      <w:pPr>
        <w:pStyle w:val="Heading2"/>
      </w:pPr>
      <w:r>
        <w:t xml:space="preserve">4. Emissions Calculation (Step 4)</w:t>
      </w:r>
    </w:p>
    <w:p>
      <w:pPr>
        <w:pStyle w:val="FirstParagraph"/>
      </w:pPr>
      <w:r>
        <w:t xml:space="preserve">Emissions are calculated for each life cycle stage using the activity data and appropriate emission factors. All values are expressed in kilograms of carbon dioxide equivalent (kg CO2e).</w:t>
      </w:r>
    </w:p>
    <w:bookmarkStart w:id="34" w:name="summary-of-emission-factors-used-assumed"/>
    <w:p>
      <w:pPr>
        <w:pStyle w:val="Heading3"/>
      </w:pPr>
      <w:r>
        <w:t xml:space="preserve">Summary of Emission Factors Used (Assumed)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 Basis</w:t>
            </w:r>
          </w:p>
        </w:tc>
      </w:tr>
      <w:tr>
        <w:tc>
          <w:tcPr/>
          <w:p>
            <w:pPr>
              <w:pStyle w:val="Compact"/>
              <w:jc w:val="left"/>
            </w:pPr>
            <w:r>
              <w:t xml:space="preserve">China Grid Electricity</w:t>
            </w:r>
          </w:p>
        </w:tc>
        <w:tc>
          <w:tcPr/>
          <w:p>
            <w:pPr>
              <w:pStyle w:val="Compact"/>
              <w:jc w:val="left"/>
            </w:pPr>
            <w:r>
              <w:t xml:space="preserve">0.58</w:t>
            </w:r>
          </w:p>
        </w:tc>
        <w:tc>
          <w:tcPr/>
          <w:p>
            <w:pPr>
              <w:pStyle w:val="Compact"/>
              <w:jc w:val="left"/>
            </w:pPr>
            <w:r>
              <w:t xml:space="preserve">kg CO2e/kWh</w:t>
            </w:r>
          </w:p>
        </w:tc>
        <w:tc>
          <w:tcPr/>
          <w:p>
            <w:pPr>
              <w:pStyle w:val="Compact"/>
              <w:jc w:val="left"/>
            </w:pPr>
            <w:r>
              <w:t xml:space="preserve">Average from multiple sources for China</w:t>
            </w:r>
          </w:p>
        </w:tc>
      </w:tr>
      <w:tr>
        <w:tc>
          <w:tcPr/>
          <w:p>
            <w:pPr>
              <w:pStyle w:val="Compact"/>
              <w:jc w:val="left"/>
            </w:pPr>
            <w:r>
              <w:t xml:space="preserve">Europe Grid Electricity</w:t>
            </w:r>
          </w:p>
        </w:tc>
        <w:tc>
          <w:tcPr/>
          <w:p>
            <w:pPr>
              <w:pStyle w:val="Compact"/>
              <w:jc w:val="left"/>
            </w:pPr>
            <w:r>
              <w:t xml:space="preserve">0.27</w:t>
            </w:r>
          </w:p>
        </w:tc>
        <w:tc>
          <w:tcPr/>
          <w:p>
            <w:pPr>
              <w:pStyle w:val="Compact"/>
              <w:jc w:val="left"/>
            </w:pPr>
            <w:r>
              <w:t xml:space="preserve">kg CO2e/kWh</w:t>
            </w:r>
          </w:p>
        </w:tc>
        <w:tc>
          <w:tcPr/>
          <w:p>
            <w:pPr>
              <w:pStyle w:val="Compact"/>
              <w:jc w:val="left"/>
            </w:pPr>
            <w:r>
              <w:t xml:space="preserve">Average from multiple sources for EU</w:t>
            </w:r>
          </w:p>
        </w:tc>
      </w:tr>
      <w:tr>
        <w:tc>
          <w:tcPr/>
          <w:p>
            <w:pPr>
              <w:pStyle w:val="Compact"/>
              <w:jc w:val="left"/>
            </w:pPr>
            <w:r>
              <w:t xml:space="preserve">Road Freight (Heavy Goods Vehicle)</w:t>
            </w:r>
          </w:p>
        </w:tc>
        <w:tc>
          <w:tcPr/>
          <w:p>
            <w:pPr>
              <w:pStyle w:val="Compact"/>
              <w:jc w:val="left"/>
            </w:pPr>
            <w:r>
              <w:t xml:space="preserve">0.08</w:t>
            </w:r>
          </w:p>
        </w:tc>
        <w:tc>
          <w:tcPr/>
          <w:p>
            <w:pPr>
              <w:pStyle w:val="Compact"/>
              <w:jc w:val="left"/>
            </w:pPr>
            <w:r>
              <w:t xml:space="preserve">kg CO2e/tonne-km</w:t>
            </w:r>
          </w:p>
        </w:tc>
        <w:tc>
          <w:tcPr/>
          <w:p>
            <w:pPr>
              <w:pStyle w:val="Compact"/>
              <w:jc w:val="left"/>
            </w:pPr>
            <w:r>
              <w:t xml:space="preserve">Typical for long-haul road freight</w:t>
            </w:r>
          </w:p>
        </w:tc>
      </w:tr>
      <w:tr>
        <w:tc>
          <w:tcPr/>
          <w:p>
            <w:pPr>
              <w:pStyle w:val="Compact"/>
              <w:jc w:val="left"/>
            </w:pPr>
            <w:r>
              <w:t xml:space="preserve">Last-Mile Delivery (Van)</w:t>
            </w:r>
          </w:p>
        </w:tc>
        <w:tc>
          <w:tcPr/>
          <w:p>
            <w:pPr>
              <w:pStyle w:val="Compact"/>
              <w:jc w:val="left"/>
            </w:pPr>
            <w:r>
              <w:t xml:space="preserve">0.22</w:t>
            </w:r>
          </w:p>
        </w:tc>
        <w:tc>
          <w:tcPr/>
          <w:p>
            <w:pPr>
              <w:pStyle w:val="Compact"/>
              <w:jc w:val="left"/>
            </w:pPr>
            <w:r>
              <w:t xml:space="preserve">kg CO2e/km</w:t>
            </w:r>
          </w:p>
        </w:tc>
        <w:tc>
          <w:tcPr/>
          <w:p>
            <w:pPr>
              <w:pStyle w:val="Compact"/>
              <w:jc w:val="left"/>
            </w:pPr>
            <w:r>
              <w:t xml:space="preserve">Typical for light commercial delivery van</w:t>
            </w:r>
          </w:p>
        </w:tc>
      </w:tr>
      <w:tr>
        <w:tc>
          <w:tcPr/>
          <w:p>
            <w:pPr>
              <w:pStyle w:val="Compact"/>
              <w:jc w:val="left"/>
            </w:pPr>
            <w:r>
              <w:t xml:space="preserve">Recycling Credit - Plastics</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Credit for displacing virgin plastic, balancing process emissions</w:t>
            </w:r>
          </w:p>
        </w:tc>
      </w:tr>
      <w:tr>
        <w:tc>
          <w:tcPr/>
          <w:p>
            <w:pPr>
              <w:pStyle w:val="Compact"/>
              <w:jc w:val="left"/>
            </w:pPr>
            <w:r>
              <w:t xml:space="preserve">Recycling Credit - Metals</w:t>
            </w:r>
          </w:p>
        </w:tc>
        <w:tc>
          <w:tcPr/>
          <w:p>
            <w:pPr>
              <w:pStyle w:val="Compact"/>
              <w:jc w:val="left"/>
            </w:pPr>
            <w:r>
              <w:t xml:space="preserve">-1.5</w:t>
            </w:r>
          </w:p>
        </w:tc>
        <w:tc>
          <w:tcPr/>
          <w:p>
            <w:pPr>
              <w:pStyle w:val="Compact"/>
              <w:jc w:val="left"/>
            </w:pPr>
            <w:r>
              <w:t xml:space="preserve">kg CO2e/kg</w:t>
            </w:r>
          </w:p>
        </w:tc>
        <w:tc>
          <w:tcPr/>
          <w:p>
            <w:pPr>
              <w:pStyle w:val="Compact"/>
              <w:jc w:val="left"/>
            </w:pPr>
            <w:r>
              <w:t xml:space="preserve">Credit for displacing virgin metal</w:t>
            </w:r>
          </w:p>
        </w:tc>
      </w:tr>
      <w:tr>
        <w:tc>
          <w:tcPr/>
          <w:p>
            <w:pPr>
              <w:pStyle w:val="Compact"/>
              <w:jc w:val="left"/>
            </w:pPr>
            <w:r>
              <w:t xml:space="preserve">Recycling Credit - Cardboard</w:t>
            </w:r>
          </w:p>
        </w:tc>
        <w:tc>
          <w:tcPr/>
          <w:p>
            <w:pPr>
              <w:pStyle w:val="Compact"/>
              <w:jc w:val="left"/>
            </w:pPr>
            <w:r>
              <w:t xml:space="preserve">-0.3</w:t>
            </w:r>
          </w:p>
        </w:tc>
        <w:tc>
          <w:tcPr/>
          <w:p>
            <w:pPr>
              <w:pStyle w:val="Compact"/>
              <w:jc w:val="left"/>
            </w:pPr>
            <w:r>
              <w:t xml:space="preserve">kg CO2e/kg</w:t>
            </w:r>
          </w:p>
        </w:tc>
        <w:tc>
          <w:tcPr/>
          <w:p>
            <w:pPr>
              <w:pStyle w:val="Compact"/>
              <w:jc w:val="left"/>
            </w:pPr>
            <w:r>
              <w:t xml:space="preserve">Credit for displacing virgin cardboard</w:t>
            </w:r>
          </w:p>
        </w:tc>
      </w:tr>
      <w:tr>
        <w:tc>
          <w:tcPr/>
          <w:p>
            <w:pPr>
              <w:pStyle w:val="Compact"/>
              <w:jc w:val="left"/>
            </w:pPr>
            <w:r>
              <w:t xml:space="preserve">End-of-Life - Non-Recycled (General Waste)</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Typical for landfilling plastic waste, used as a conservative proxy for mixed waste.</w:t>
            </w:r>
          </w:p>
        </w:tc>
      </w:tr>
    </w:tbl>
    <w:bookmarkEnd w:id="34"/>
    <w:bookmarkStart w:id="40" w:name="X93df1f81300e7876dd4984e001b4335c6eed79f"/>
    <w:p>
      <w:pPr>
        <w:pStyle w:val="Heading3"/>
      </w:pPr>
      <w:r>
        <w:t xml:space="preserve">Detailed Emission Calculations by Life Cycle Stage</w:t>
      </w:r>
    </w:p>
    <w:bookmarkStart w:id="35" w:name="X057ce896d4a1f837cad62054593f6bf20c2c236"/>
    <w:p>
      <w:pPr>
        <w:pStyle w:val="Heading4"/>
      </w:pPr>
      <w:r>
        <w:t xml:space="preserve">Material Acquisition &amp; Processing (Scope 3, Category 1: Purchased Goods and Services)</w:t>
      </w:r>
    </w:p>
    <w:p>
      <w:pPr>
        <w:pStyle w:val="FirstParagraph"/>
      </w:pPr>
      <w:r>
        <w:t xml:space="preserve">Calculations directly use the "Total Carbon" values provided in the BOM data, as these are assumed to include cradle-to-gate emissions for each material.</w:t>
      </w:r>
    </w:p>
    <w:p>
      <w:pPr>
        <w:pStyle w:val="BodyText"/>
      </w:pPr>
      <w:r>
        <w:t xml:space="preserve">Total Material Emissions = 4.59 kg CO2e</w:t>
      </w:r>
    </w:p>
    <w:bookmarkEnd w:id="35"/>
    <w:bookmarkStart w:id="36" w:name="manufacturing-phase"/>
    <w:p>
      <w:pPr>
        <w:pStyle w:val="Heading4"/>
      </w:pPr>
      <w:r>
        <w:t xml:space="preserve">Manufacturing Phase</w:t>
      </w:r>
    </w:p>
    <w:p>
      <w:pPr>
        <w:pStyle w:val="FirstParagraph"/>
      </w:pPr>
      <w:r>
        <w:t xml:space="preserve">Emissions from energy consumption during production in China.</w:t>
      </w:r>
    </w:p>
    <w:p>
      <w:pPr>
        <w:numPr>
          <w:ilvl w:val="0"/>
          <w:numId w:val="1008"/>
        </w:numPr>
        <w:pStyle w:val="Compact"/>
      </w:pPr>
      <w:r>
        <w:t xml:space="preserve">Total Energy Consumption = 15 kWh/unit</w:t>
      </w:r>
    </w:p>
    <w:p>
      <w:pPr>
        <w:numPr>
          <w:ilvl w:val="0"/>
          <w:numId w:val="1008"/>
        </w:numPr>
        <w:pStyle w:val="Compact"/>
      </w:pPr>
      <w:r>
        <w:t xml:space="preserve">Non-Renewable Energy Portion = 15 kWh/unit * (1 - 0.30) = 10.5 kWh/unit</w:t>
      </w:r>
    </w:p>
    <w:p>
      <w:pPr>
        <w:numPr>
          <w:ilvl w:val="0"/>
          <w:numId w:val="1008"/>
        </w:numPr>
        <w:pStyle w:val="Compact"/>
      </w:pPr>
      <w:r>
        <w:t xml:space="preserve">Emissions from Non-Renewable Energy (Scope 2) = 10.5 kWh/unit * 0.58 kg CO2e/kWh = 6.09 kg CO2e</w:t>
      </w:r>
    </w:p>
    <w:p>
      <w:pPr>
        <w:numPr>
          <w:ilvl w:val="0"/>
          <w:numId w:val="1008"/>
        </w:numPr>
        <w:pStyle w:val="Compact"/>
      </w:pPr>
      <w:r>
        <w:t xml:space="preserve">Emissions from Renewable Energy (Scope 3, Category 3: Fuel- and Energy-Related Activities, if purchased off-grid or from unbundled certificates; otherwise Scope 2 with zero emissions): Assuming the 30% renewable energy is from certified sources with zero associated emissions within the calculation boundary. Therefore, only the non-renewable portion contributes.</w:t>
      </w:r>
    </w:p>
    <w:p>
      <w:pPr>
        <w:pStyle w:val="FirstParagraph"/>
      </w:pPr>
      <w:r>
        <w:t xml:space="preserve">Total Manufacturing Emissions = 6.09 kg CO2e</w:t>
      </w:r>
    </w:p>
    <w:bookmarkEnd w:id="36"/>
    <w:bookmarkStart w:id="37" w:name="Xcf8fd6c7b99354318c2db13a3124e0731f55875"/>
    <w:p>
      <w:pPr>
        <w:pStyle w:val="Heading4"/>
      </w:pPr>
      <w:r>
        <w:t xml:space="preserve">Transport Phase (Scope 3, Category 4 &amp; 9: Upstream &amp; Downstream Transportation and Distribution)</w:t>
      </w:r>
    </w:p>
    <w:p>
      <w:pPr>
        <w:numPr>
          <w:ilvl w:val="0"/>
          <w:numId w:val="1009"/>
        </w:numPr>
        <w:pStyle w:val="Compact"/>
      </w:pPr>
      <w:r>
        <w:t xml:space="preserve">Product Weight = 1.0 kg (0.001 tonnes)</w:t>
      </w:r>
    </w:p>
    <w:p>
      <w:pPr>
        <w:numPr>
          <w:ilvl w:val="0"/>
          <w:numId w:val="1009"/>
        </w:numPr>
        <w:pStyle w:val="Compact"/>
      </w:pPr>
      <w:r>
        <w:rPr>
          <w:bCs/>
          <w:b/>
        </w:rPr>
        <w:t xml:space="preserve">Main Transport (Upstream - materials to factory or finished product to distribution hub):</w:t>
      </w:r>
    </w:p>
    <w:p>
      <w:pPr>
        <w:numPr>
          <w:ilvl w:val="0"/>
          <w:numId w:val="1009"/>
        </w:numPr>
        <w:pStyle w:val="Compact"/>
      </w:pPr>
    </w:p>
    <w:p>
      <w:pPr>
        <w:numPr>
          <w:ilvl w:val="1"/>
          <w:numId w:val="1010"/>
        </w:numPr>
        <w:pStyle w:val="Compact"/>
      </w:pPr>
      <w:r>
        <w:t xml:space="preserve">Distance = 2000 km</w:t>
      </w:r>
    </w:p>
    <w:p>
      <w:pPr>
        <w:numPr>
          <w:ilvl w:val="1"/>
          <w:numId w:val="1010"/>
        </w:numPr>
        <w:pStyle w:val="Compact"/>
      </w:pPr>
      <w:r>
        <w:t xml:space="preserve">Emission Factor = 0.08 kg CO2e/tonne-km</w:t>
      </w:r>
    </w:p>
    <w:p>
      <w:pPr>
        <w:numPr>
          <w:ilvl w:val="1"/>
          <w:numId w:val="1010"/>
        </w:numPr>
        <w:pStyle w:val="Compact"/>
      </w:pPr>
      <w:r>
        <w:t xml:space="preserve">Emissions = 0.001 tonnes * 2000 km * 0.08 kg CO2e/tonne-km = 0.16 kg CO2e</w:t>
      </w:r>
    </w:p>
    <w:p>
      <w:pPr>
        <w:numPr>
          <w:ilvl w:val="0"/>
          <w:numId w:val="1009"/>
        </w:numPr>
        <w:pStyle w:val="Compact"/>
      </w:pPr>
      <w:r>
        <w:rPr>
          <w:bCs/>
          <w:b/>
        </w:rPr>
        <w:t xml:space="preserve">Last-Mile Delivery (Downstream - from distribution to customer):</w:t>
      </w:r>
    </w:p>
    <w:p>
      <w:pPr>
        <w:numPr>
          <w:ilvl w:val="0"/>
          <w:numId w:val="1009"/>
        </w:numPr>
        <w:pStyle w:val="Compact"/>
      </w:pPr>
    </w:p>
    <w:p>
      <w:pPr>
        <w:numPr>
          <w:ilvl w:val="1"/>
          <w:numId w:val="1011"/>
        </w:numPr>
        <w:pStyle w:val="Compact"/>
      </w:pPr>
      <w:r>
        <w:t xml:space="preserve">Distance = 50 km</w:t>
      </w:r>
    </w:p>
    <w:p>
      <w:pPr>
        <w:numPr>
          <w:ilvl w:val="1"/>
          <w:numId w:val="1011"/>
        </w:numPr>
        <w:pStyle w:val="Compact"/>
      </w:pPr>
      <w:r>
        <w:t xml:space="preserve">Emission Factor = 0.22 kg CO2e/km (assuming a single product in a typical van load, so per-km factor is more appropriate than tkm for small items or small loads)</w:t>
      </w:r>
    </w:p>
    <w:p>
      <w:pPr>
        <w:numPr>
          <w:ilvl w:val="1"/>
          <w:numId w:val="1011"/>
        </w:numPr>
        <w:pStyle w:val="Compact"/>
      </w:pPr>
      <w:r>
        <w:t xml:space="preserve">Emissions = 50 km * 0.22 kg CO2e/km = 11.00 kg CO2e</w:t>
      </w:r>
    </w:p>
    <w:p>
      <w:pPr>
        <w:pStyle w:val="FirstParagraph"/>
      </w:pPr>
      <w:r>
        <w:t xml:space="preserve">Total Transport Emissions = 0.16 kg CO2e (Main) + 11.00 kg CO2e (Last-Mile) = 11.16 kg CO2e</w:t>
      </w:r>
    </w:p>
    <w:bookmarkEnd w:id="37"/>
    <w:bookmarkStart w:id="38" w:name="Xc8d47610e025d3b1fe367d676386ecee874efa3"/>
    <w:p>
      <w:pPr>
        <w:pStyle w:val="Heading4"/>
      </w:pPr>
      <w:r>
        <w:t xml:space="preserve">Use Phase (Scope 3, Category 11: Use of Sold Products)</w:t>
      </w:r>
    </w:p>
    <w:p>
      <w:pPr>
        <w:pStyle w:val="FirstParagraph"/>
      </w:pPr>
      <w:r>
        <w:t xml:space="preserve">Energy consumption over the product\'s lifespan.</w:t>
      </w:r>
    </w:p>
    <w:p>
      <w:pPr>
        <w:numPr>
          <w:ilvl w:val="0"/>
          <w:numId w:val="1012"/>
        </w:numPr>
        <w:pStyle w:val="Compact"/>
      </w:pPr>
      <w:r>
        <w:t xml:space="preserve">Annual Energy Consumption = 20 kWh/year</w:t>
      </w:r>
    </w:p>
    <w:p>
      <w:pPr>
        <w:numPr>
          <w:ilvl w:val="0"/>
          <w:numId w:val="1012"/>
        </w:numPr>
        <w:pStyle w:val="Compact"/>
      </w:pPr>
      <w:r>
        <w:t xml:space="preserve">Product Lifespan = 5 years</w:t>
      </w:r>
    </w:p>
    <w:p>
      <w:pPr>
        <w:numPr>
          <w:ilvl w:val="0"/>
          <w:numId w:val="1012"/>
        </w:numPr>
        <w:pStyle w:val="Compact"/>
      </w:pPr>
      <w:r>
        <w:t xml:space="preserve">Total Energy Consumption in Use = 20 kWh/year * 5 years = 100 kWh</w:t>
      </w:r>
    </w:p>
    <w:p>
      <w:pPr>
        <w:numPr>
          <w:ilvl w:val="0"/>
          <w:numId w:val="1012"/>
        </w:numPr>
        <w:pStyle w:val="Compact"/>
      </w:pPr>
      <w:r>
        <w:t xml:space="preserve">Emission Factor (Europe Grid) = 0.27 kg CO2e/kWh</w:t>
      </w:r>
    </w:p>
    <w:p>
      <w:pPr>
        <w:numPr>
          <w:ilvl w:val="0"/>
          <w:numId w:val="1012"/>
        </w:numPr>
        <w:pStyle w:val="Compact"/>
      </w:pPr>
      <w:r>
        <w:t xml:space="preserve">Emissions = 100 kWh * 0.27 kg CO2e/kWh = 27.00 kg CO2e</w:t>
      </w:r>
    </w:p>
    <w:p>
      <w:pPr>
        <w:pStyle w:val="FirstParagraph"/>
      </w:pPr>
      <w:r>
        <w:t xml:space="preserve">Total Use Phase Emissions = 27.00 kg CO2e</w:t>
      </w:r>
    </w:p>
    <w:bookmarkEnd w:id="38"/>
    <w:bookmarkStart w:id="39" w:name="X3469672ea15ea9edfd64180e135dbd669c95da4"/>
    <w:p>
      <w:pPr>
        <w:pStyle w:val="Heading4"/>
      </w:pPr>
      <w:r>
        <w:t xml:space="preserve">End-of-Life (EoL) Phase (Scope 3, Category 12: End-of-Life Treatment of Sold Products)</w:t>
      </w:r>
    </w:p>
    <w:p>
      <w:pPr>
        <w:pStyle w:val="FirstParagraph"/>
      </w:pPr>
      <w:r>
        <w:t xml:space="preserve">Emissions and potential credits from recycling and disposal.</w:t>
      </w:r>
    </w:p>
    <w:p>
      <w:pPr>
        <w:numPr>
          <w:ilvl w:val="0"/>
          <w:numId w:val="1013"/>
        </w:numPr>
        <w:pStyle w:val="Compact"/>
      </w:pPr>
      <w:r>
        <w:t xml:space="preserve">Product Weight for EoL consideration = 1.0 kg (assuming it aligns with material weight)</w:t>
      </w:r>
    </w:p>
    <w:p>
      <w:pPr>
        <w:numPr>
          <w:ilvl w:val="0"/>
          <w:numId w:val="1013"/>
        </w:numPr>
        <w:pStyle w:val="Compact"/>
      </w:pPr>
      <w:r>
        <w:t xml:space="preserve">Recycled Portion = 1.0 kg * 0.70 = 0.70 kg</w:t>
      </w:r>
    </w:p>
    <w:p>
      <w:pPr>
        <w:numPr>
          <w:ilvl w:val="0"/>
          <w:numId w:val="1013"/>
        </w:numPr>
        <w:pStyle w:val="Compact"/>
      </w:pPr>
      <w:r>
        <w:t xml:space="preserve">Non-Recycled Portion = 1.0 kg * 0.30 = 0.30 kg</w:t>
      </w:r>
    </w:p>
    <w:p>
      <w:pPr>
        <w:numPr>
          <w:ilvl w:val="0"/>
          <w:numId w:val="1013"/>
        </w:numPr>
        <w:pStyle w:val="Compact"/>
      </w:pPr>
      <w:r>
        <w:rPr>
          <w:bCs/>
          <w:b/>
        </w:rPr>
        <w:t xml:space="preserve">Recycling Credits:</w:t>
      </w:r>
    </w:p>
    <w:p>
      <w:pPr>
        <w:numPr>
          <w:ilvl w:val="1"/>
          <w:numId w:val="1014"/>
        </w:numPr>
        <w:pStyle w:val="Compact"/>
      </w:pPr>
      <w:r>
        <w:t xml:space="preserve">Plastic (0.5 kg from BOM): 0.5 kg * 0.70 (recyclability) * -1.0 kg CO2e/kg = -0.35 kg CO2e</w:t>
      </w:r>
    </w:p>
    <w:p>
      <w:pPr>
        <w:numPr>
          <w:ilvl w:val="1"/>
          <w:numId w:val="1014"/>
        </w:numPr>
        <w:pStyle w:val="Compact"/>
      </w:pPr>
      <w:r>
        <w:t xml:space="preserve">Aluminum (0.2 kg from BOM): 0.2 kg * 0.70 (recyclability) * -1.5 kg CO2e/kg = -0.21 kg CO2e</w:t>
      </w:r>
    </w:p>
    <w:p>
      <w:pPr>
        <w:numPr>
          <w:ilvl w:val="1"/>
          <w:numId w:val="1014"/>
        </w:numPr>
        <w:pStyle w:val="Compact"/>
      </w:pPr>
      <w:r>
        <w:t xml:space="preserve">Cardboard (0.3 kg from BOM): 0.3 kg * 0.70 (recyclability) * -0.3 kg CO2e/kg = -0.063 kg CO2e</w:t>
      </w:r>
    </w:p>
    <w:p>
      <w:pPr>
        <w:numPr>
          <w:ilvl w:val="1"/>
          <w:numId w:val="1014"/>
        </w:numPr>
        <w:pStyle w:val="Compact"/>
      </w:pPr>
      <w:r>
        <w:t xml:space="preserve">Total Recycling Credits = -0.35 - 0.21 - 0.063 = -0.623 kg CO2e</w:t>
      </w:r>
    </w:p>
    <w:p>
      <w:pPr>
        <w:numPr>
          <w:ilvl w:val="0"/>
          <w:numId w:val="1013"/>
        </w:numPr>
        <w:pStyle w:val="Compact"/>
      </w:pPr>
      <w:r>
        <w:rPr>
          <w:bCs/>
          <w:b/>
        </w:rPr>
        <w:t xml:space="preserve">Non-Recycled Waste Emissions:</w:t>
      </w:r>
    </w:p>
    <w:p>
      <w:pPr>
        <w:numPr>
          <w:ilvl w:val="1"/>
          <w:numId w:val="1015"/>
        </w:numPr>
        <w:pStyle w:val="Compact"/>
      </w:pPr>
      <w:r>
        <w:t xml:space="preserve">Assuming the 0.30 kg non-recycled portion goes to general waste (landfill/incineration).</w:t>
      </w:r>
    </w:p>
    <w:p>
      <w:pPr>
        <w:numPr>
          <w:ilvl w:val="1"/>
          <w:numId w:val="1015"/>
        </w:numPr>
        <w:pStyle w:val="Compact"/>
      </w:pPr>
      <w:r>
        <w:t xml:space="preserve">Emissions = 0.30 kg * 0.033 kg CO2e/kg = 0.0099 kg CO2e</w:t>
      </w:r>
    </w:p>
    <w:p>
      <w:pPr>
        <w:pStyle w:val="FirstParagraph"/>
      </w:pPr>
      <w:r>
        <w:t xml:space="preserve">Total End-of-Life Emissions = -0.623 kg CO2e (Credits) + 0.0099 kg CO2e (Disposal) = -0.6131 kg CO2e</w:t>
      </w:r>
    </w:p>
    <w:bookmarkEnd w:id="39"/>
    <w:bookmarkEnd w:id="40"/>
    <w:bookmarkStart w:id="41" w:name="X507e4858ff652351992dc725d8474dec8f03d0f"/>
    <w:p>
      <w:pPr>
        <w:pStyle w:val="Heading3"/>
      </w:pPr>
      <w:r>
        <w:t xml:space="preserve">Total Product Carbon Footprint (PCF) for oksfqdwypy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 1)</w:t>
            </w:r>
          </w:p>
        </w:tc>
        <w:tc>
          <w:tcPr/>
          <w:p>
            <w:pPr>
              <w:pStyle w:val="Compact"/>
              <w:jc w:val="left"/>
            </w:pPr>
            <w:r>
              <w:t xml:space="preserve">4.59</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6.09</w:t>
            </w:r>
          </w:p>
        </w:tc>
      </w:tr>
      <w:tr>
        <w:tc>
          <w:tcPr/>
          <w:p>
            <w:pPr>
              <w:pStyle w:val="Compact"/>
              <w:jc w:val="left"/>
            </w:pPr>
            <w:r>
              <w:t xml:space="preserve">Transport (Main)</w:t>
            </w:r>
          </w:p>
        </w:tc>
        <w:tc>
          <w:tcPr/>
          <w:p>
            <w:pPr>
              <w:pStyle w:val="Compact"/>
              <w:jc w:val="left"/>
            </w:pPr>
            <w:r>
              <w:t xml:space="preserve">Scope 3 (Cat. 4)</w:t>
            </w:r>
          </w:p>
        </w:tc>
        <w:tc>
          <w:tcPr/>
          <w:p>
            <w:pPr>
              <w:pStyle w:val="Compact"/>
              <w:jc w:val="left"/>
            </w:pPr>
            <w:r>
              <w:t xml:space="preserve">0.16</w:t>
            </w:r>
          </w:p>
        </w:tc>
      </w:tr>
      <w:tr>
        <w:tc>
          <w:tcPr/>
          <w:p>
            <w:pPr>
              <w:pStyle w:val="Compact"/>
              <w:jc w:val="left"/>
            </w:pPr>
            <w:r>
              <w:t xml:space="preserve">Transport (Last-Mile)</w:t>
            </w:r>
          </w:p>
        </w:tc>
        <w:tc>
          <w:tcPr/>
          <w:p>
            <w:pPr>
              <w:pStyle w:val="Compact"/>
              <w:jc w:val="left"/>
            </w:pPr>
            <w:r>
              <w:t xml:space="preserve">Scope 3 (Cat. 9)</w:t>
            </w:r>
          </w:p>
        </w:tc>
        <w:tc>
          <w:tcPr/>
          <w:p>
            <w:pPr>
              <w:pStyle w:val="Compact"/>
              <w:jc w:val="left"/>
            </w:pPr>
            <w:r>
              <w:t xml:space="preserve">11.00</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27.00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-0.61</w:t>
            </w:r>
          </w:p>
        </w:tc>
      </w:tr>
      <w:tr>
        <w:tc>
          <w:tcPr>
            <w:gridSpan w:val="2"/>
          </w:tcPr>
          <w:p>
            <w:pPr>
              <w:pStyle w:val="Compact"/>
              <w:jc w:val="left"/>
            </w:pPr>
            <w:r>
              <w:t xml:space="preserve">TOTAL PRODUCT CARBON FOOTPRINT</w:t>
            </w:r>
          </w:p>
        </w:tc>
        <w:tc>
          <w:tcPr/>
          <w:p>
            <w:pPr>
              <w:pStyle w:val="Compact"/>
              <w:jc w:val="left"/>
            </w:pPr>
            <w:r>
              <w:t xml:space="preserve">48.23</w:t>
            </w:r>
          </w:p>
        </w:tc>
      </w:tr>
    </w:tbl>
    <w:p>
      <w:r>
        <w:pict>
          <v:rect style="width:0;height:1.5pt" o:hralign="center" o:hrstd="t" o:hr="t"/>
        </w:pict>
      </w:r>
    </w:p>
    <w:bookmarkEnd w:id="41"/>
    <w:bookmarkEnd w:id="42"/>
    <w:bookmarkStart w:id="46" w:name="review-report-hotspots-and-reliability"/>
    <w:p>
      <w:pPr>
        <w:pStyle w:val="Heading2"/>
      </w:pPr>
      <w:r>
        <w:t xml:space="preserve">5. Review &amp; Report (Hotspots and Reliability)</w:t>
      </w:r>
    </w:p>
    <w:bookmarkStart w:id="43" w:name="emission-hotspots"/>
    <w:p>
      <w:pPr>
        <w:pStyle w:val="Heading3"/>
      </w:pPr>
      <w:r>
        <w:t xml:space="preserve">Emission Hotspots</w:t>
      </w:r>
    </w:p>
    <w:p>
      <w:pPr>
        <w:pStyle w:val="FirstParagraph"/>
      </w:pPr>
      <w:r>
        <w:t xml:space="preserve">The analysis reveals the following major emission hotspots for "oksfqdwypy":</w:t>
      </w:r>
    </w:p>
    <w:p>
      <w:pPr>
        <w:numPr>
          <w:ilvl w:val="0"/>
          <w:numId w:val="1016"/>
        </w:numPr>
        <w:pStyle w:val="Compact"/>
      </w:pPr>
      <w:r>
        <w:rPr>
          <w:bCs/>
          <w:b/>
        </w:rPr>
        <w:t xml:space="preserve">Use Phase (56.0%):</w:t>
      </w:r>
      <w:r>
        <w:t xml:space="preserve"> </w:t>
      </w:r>
      <w:r>
        <w:t xml:space="preserve">The largest contributor to the PCF is the energy consumed during the product\'s 5-year lifespan (27.00 kg CO2e). This highlights the importance of energy efficiency for consumers and the carbon intensity of the grid electricity where the product is used.</w:t>
      </w:r>
    </w:p>
    <w:p>
      <w:pPr>
        <w:numPr>
          <w:ilvl w:val="0"/>
          <w:numId w:val="1016"/>
        </w:numPr>
        <w:pStyle w:val="Compact"/>
      </w:pPr>
      <w:r>
        <w:rPr>
          <w:bCs/>
          <w:b/>
        </w:rPr>
        <w:t xml:space="preserve">Last-Mile Delivery (22.8%):</w:t>
      </w:r>
      <w:r>
        <w:t xml:space="preserve"> </w:t>
      </w:r>
      <w:r>
        <w:t xml:space="preserve">Despite being a relatively short distance, the last-mile delivery via van contributes significantly (11.00 kg CO2e). This is typical for lighter, smaller consumer goods, where the per-km emission factor for vans is high relative to the product\'s weight, and load factors might be suboptimal.</w:t>
      </w:r>
    </w:p>
    <w:p>
      <w:pPr>
        <w:numPr>
          <w:ilvl w:val="0"/>
          <w:numId w:val="1016"/>
        </w:numPr>
        <w:pStyle w:val="Compact"/>
      </w:pPr>
      <w:r>
        <w:rPr>
          <w:bCs/>
          <w:b/>
        </w:rPr>
        <w:t xml:space="preserve">Manufacturing (12.6%):</w:t>
      </w:r>
      <w:r>
        <w:t xml:space="preserve"> </w:t>
      </w:r>
      <w:r>
        <w:t xml:space="preserve">Production energy, even with 30% renewable usage, still accounts for a notable portion (6.09 kg CO2e), emphasizing the need for further decarbonization of the manufacturing process and the energy grid in China.</w:t>
      </w:r>
    </w:p>
    <w:p>
      <w:pPr>
        <w:numPr>
          <w:ilvl w:val="0"/>
          <w:numId w:val="1016"/>
        </w:numPr>
        <w:pStyle w:val="Compact"/>
      </w:pPr>
      <w:r>
        <w:rPr>
          <w:bCs/>
          <w:b/>
        </w:rPr>
        <w:t xml:space="preserve">Material Acquisition &amp; Processing (9.5%):</w:t>
      </w:r>
      <w:r>
        <w:t xml:space="preserve"> </w:t>
      </w:r>
      <w:r>
        <w:t xml:space="preserve">The raw materials, particularly the aluminum frame and circuit board, have a considerable upfront impact (4.59 kg CO2e).</w:t>
      </w:r>
    </w:p>
    <w:bookmarkEnd w:id="43"/>
    <w:bookmarkStart w:id="44" w:name="reliability-and-limitations"/>
    <w:p>
      <w:pPr>
        <w:pStyle w:val="Heading3"/>
      </w:pPr>
      <w:r>
        <w:t xml:space="preserve">Reliability and Limitations</w:t>
      </w:r>
    </w:p>
    <w:p>
      <w:pPr>
        <w:pStyle w:val="FirstParagraph"/>
      </w:pPr>
      <w:r>
        <w:t xml:space="preserve">The reliability of this PCF is good, adhering to the GHG Protocol\'s guidance and utilizing specific product data where available. However, some limitations exist:</w:t>
      </w:r>
    </w:p>
    <w:p>
      <w:pPr>
        <w:numPr>
          <w:ilvl w:val="0"/>
          <w:numId w:val="1017"/>
        </w:numPr>
        <w:pStyle w:val="Compact"/>
      </w:pPr>
      <w:r>
        <w:rPr>
          <w:bCs/>
          <w:b/>
        </w:rPr>
        <w:t xml:space="preserve">Secondary Data Reliance:</w:t>
      </w:r>
      <w:r>
        <w:t xml:space="preserve"> </w:t>
      </w:r>
      <w:r>
        <w:t xml:space="preserve">Emission factors for energy grids, transport, and recycling credits are based on publicly available, industry-standard averages (e.g., from Climatiq, EPA, DEFRA, GLEC, IEA) and not always specific to direct suppliers. While robust, these may not perfectly reflect real-world values for every specific process or region within the supply chain.</w:t>
      </w:r>
    </w:p>
    <w:p>
      <w:pPr>
        <w:numPr>
          <w:ilvl w:val="0"/>
          <w:numId w:val="1017"/>
        </w:numPr>
        <w:pStyle w:val="Compact"/>
      </w:pPr>
      <w:r>
        <w:rPr>
          <w:bCs/>
          <w:b/>
        </w:rPr>
        <w:t xml:space="preserve">Assumed Values:</w:t>
      </w:r>
      <w:r>
        <w:t xml:space="preserve"> </w:t>
      </w:r>
      <w:r>
        <w:t xml:space="preserve">Specific numerical values for transport distance, product weight for transport, and last-mile distance were assumed as placeholders for the given string parameters. Actual values may vary.</w:t>
      </w:r>
    </w:p>
    <w:p>
      <w:pPr>
        <w:numPr>
          <w:ilvl w:val="0"/>
          <w:numId w:val="1017"/>
        </w:numPr>
        <w:pStyle w:val="Compact"/>
      </w:pPr>
      <w:r>
        <w:rPr>
          <w:bCs/>
          <w:b/>
        </w:rPr>
        <w:t xml:space="preserve">Functional Unit Simplification:</w:t>
      </w:r>
      <w:r>
        <w:t xml:space="preserve"> </w:t>
      </w:r>
      <w:r>
        <w:t xml:space="preserve">The functional unit of "1.0 unit" is straightforward, but its specific function and potential alternative products are not detailed, which could influence comparative assessments.</w:t>
      </w:r>
    </w:p>
    <w:p>
      <w:pPr>
        <w:numPr>
          <w:ilvl w:val="0"/>
          <w:numId w:val="1017"/>
        </w:numPr>
        <w:pStyle w:val="Compact"/>
      </w:pPr>
      <w:r>
        <w:rPr>
          <w:bCs/>
          <w:b/>
        </w:rPr>
        <w:t xml:space="preserve">LSR Standard Application:</w:t>
      </w:r>
      <w:r>
        <w:t xml:space="preserve"> </w:t>
      </w:r>
      <w:r>
        <w:t xml:space="preserve">While the 2026 LSR Standard is acknowledged, its detailed application for this product (which is not directly land-sector intensive) is limited to conceptual consideration of removals if applicable to materials, rather than extensive quantification.</w:t>
      </w:r>
    </w:p>
    <w:p>
      <w:pPr>
        <w:numPr>
          <w:ilvl w:val="0"/>
          <w:numId w:val="1017"/>
        </w:numPr>
        <w:pStyle w:val="Compact"/>
      </w:pPr>
      <w:r>
        <w:rPr>
          <w:bCs/>
          <w:b/>
        </w:rPr>
        <w:t xml:space="preserve">Circular Economy Impact:</w:t>
      </w:r>
      <w:r>
        <w:t xml:space="preserve"> </w:t>
      </w:r>
      <w:r>
        <w:t xml:space="preserve">The benefits of the "Company-led product take-back and refurbishment program" (`tkfgsppulu`) are qualitatively acknowledged but not quantitatively credited in this PCF due to lack of specific data on refurbishment rates or extended lifespan impacts. Only direct recycling credits are applied.</w:t>
      </w:r>
    </w:p>
    <w:bookmarkEnd w:id="44"/>
    <w:bookmarkStart w:id="45" w:name="recommendations-for-reduction"/>
    <w:p>
      <w:pPr>
        <w:pStyle w:val="Heading3"/>
      </w:pPr>
      <w:r>
        <w:t xml:space="preserve">Recommendations for Reduction</w:t>
      </w:r>
    </w:p>
    <w:p>
      <w:pPr>
        <w:pStyle w:val="FirstParagraph"/>
      </w:pPr>
      <w:r>
        <w:t xml:space="preserve">Based on the hotspots identified, eitswwktfl should focus on:</w:t>
      </w:r>
    </w:p>
    <w:p>
      <w:pPr>
        <w:numPr>
          <w:ilvl w:val="0"/>
          <w:numId w:val="1018"/>
        </w:numPr>
        <w:pStyle w:val="Compact"/>
      </w:pPr>
      <w:r>
        <w:rPr>
          <w:bCs/>
          <w:b/>
        </w:rPr>
        <w:t xml:space="preserve">Improving Use Phase Efficiency:</w:t>
      </w:r>
      <w:r>
        <w:t xml:space="preserve"> </w:t>
      </w:r>
      <w:r>
        <w:t xml:space="preserve">Research and development into more energy-efficient product designs, and educating consumers on optimal usage patterns. Consider products with longer lifespans or lower energy draw.</w:t>
      </w:r>
    </w:p>
    <w:p>
      <w:pPr>
        <w:numPr>
          <w:ilvl w:val="0"/>
          <w:numId w:val="1018"/>
        </w:numPr>
        <w:pStyle w:val="Compact"/>
      </w:pPr>
      <w:r>
        <w:rPr>
          <w:bCs/>
          <w:b/>
        </w:rPr>
        <w:t xml:space="preserve">Decarbonizing Logistics:</w:t>
      </w:r>
      <w:r>
        <w:t xml:space="preserve"> </w:t>
      </w:r>
      <w:r>
        <w:t xml:space="preserve">Explore lower-emission transport modes for main logistics (e.g., rail, sea where feasible) and invest in electric or alternative fuel vehicles for last-mile delivery, or optimize delivery routes to increase load factors.</w:t>
      </w:r>
    </w:p>
    <w:p>
      <w:pPr>
        <w:numPr>
          <w:ilvl w:val="0"/>
          <w:numId w:val="1018"/>
        </w:numPr>
        <w:pStyle w:val="Compact"/>
      </w:pPr>
      <w:r>
        <w:rPr>
          <w:bCs/>
          <w:b/>
        </w:rPr>
        <w:t xml:space="preserve">Greening Manufacturing:</w:t>
      </w:r>
      <w:r>
        <w:t xml:space="preserve"> </w:t>
      </w:r>
      <w:r>
        <w:t xml:space="preserve">Increase renewable energy procurement beyond 30% for production facilities in China, either through direct investment, Power Purchase Agreements (PPAs), or high-quality renewable energy certificates.</w:t>
      </w:r>
    </w:p>
    <w:p>
      <w:pPr>
        <w:numPr>
          <w:ilvl w:val="0"/>
          <w:numId w:val="1018"/>
        </w:numPr>
        <w:pStyle w:val="Compact"/>
      </w:pPr>
      <w:r>
        <w:rPr>
          <w:bCs/>
          <w:b/>
        </w:rPr>
        <w:t xml:space="preserve">Sustainable Material Sourcing:</w:t>
      </w:r>
      <w:r>
        <w:t xml:space="preserve"> </w:t>
      </w:r>
      <w:r>
        <w:t xml:space="preserve">Investigate lower-carbon alternatives for high-impact materials like aluminum and circuit board components, or work with suppliers to reduce their cradle-to-gate emissions.</w:t>
      </w:r>
    </w:p>
    <w:p>
      <w:pPr>
        <w:numPr>
          <w:ilvl w:val="0"/>
          <w:numId w:val="1018"/>
        </w:numPr>
        <w:pStyle w:val="Compact"/>
      </w:pPr>
      <w:r>
        <w:rPr>
          <w:bCs/>
          <w:b/>
        </w:rPr>
        <w:t xml:space="preserve">Enhancing Circularity:</w:t>
      </w:r>
      <w:r>
        <w:t xml:space="preserve"> </w:t>
      </w:r>
      <w:r>
        <w:t xml:space="preserve">Develop robust metrics to quantify the impact of the take-back and refurbishment program, potentially leading to more significant EoL credits in future assessments.</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oksfqdwypy</dc:title>
  <dc:creator/>
  <dc:description>Detailed Product Carbon Footprint (PCF) analysis for oksfqdwypy by eitswwktfl, following GHG Protocol standards.</dc:description>
  <dc:language>en</dc:language>
  <cp:keywords/>
  <dcterms:created xsi:type="dcterms:W3CDTF">2026-05-30T12:41:17Z</dcterms:created>
  <dcterms:modified xsi:type="dcterms:W3CDTF">2026-05-30T12:41:17Z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