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okqittnfpq</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for</w:t>
      </w:r>
      <w:r>
        <w:t xml:space="preserve"> </w:t>
      </w:r>
      <w:r>
        <w:rPr>
          <w:bCs/>
          <w:b/>
        </w:rPr>
        <w:t xml:space="preserve">okqittnfpq</w:t>
      </w:r>
    </w:p>
    <w:p>
      <w:pPr>
        <w:pStyle w:val="BodyText"/>
      </w:pPr>
      <w:r>
        <w:rPr>
          <w:bCs/>
          <w:b/>
        </w:rPr>
        <w:t xml:space="preserve">Accounting Standard:</w:t>
      </w:r>
      <w:r>
        <w:t xml:space="preserve"> </w:t>
      </w:r>
      <w:r>
        <w:t xml:space="preserve">GHG Protocol</w:t>
      </w:r>
    </w:p>
    <w:p>
      <w:pPr>
        <w:pStyle w:val="BodyText"/>
      </w:pPr>
      <w:r>
        <w:rPr>
          <w:bCs/>
          <w:b/>
        </w:rPr>
        <w:t xml:space="preserve">Name of the Company:</w:t>
      </w:r>
      <w:r>
        <w:t xml:space="preserve"> </w:t>
      </w:r>
      <w:r>
        <w:t xml:space="preserve">nkxyqrkyzt</w:t>
      </w:r>
    </w:p>
    <w:p>
      <w:pPr>
        <w:pStyle w:val="BodyText"/>
      </w:pPr>
      <w:r>
        <w:rPr>
          <w:bCs/>
          <w:b/>
        </w:rPr>
        <w:t xml:space="preserve">Senior Sustainability Consultant:</w:t>
      </w:r>
      <w:r>
        <w:t xml:space="preserve"> </w:t>
      </w:r>
      <w:r>
        <w:t xml:space="preserve">zzldjyqdym</w:t>
      </w:r>
    </w:p>
    <w:p>
      <w:pPr>
        <w:pStyle w:val="BodyText"/>
      </w:pPr>
      <w:r>
        <w:t xml:space="preserve">This report is generated based on available data, industry standards, and the parameters provided.</w:t>
      </w:r>
      <w:r>
        <w:t xml:space="preserve"> </w:t>
      </w:r>
      <w:r>
        <w:t xml:space="preserve">Specific numerical data for BOM items, transport, and energy were approximated using industry-average emission factors or illustrative values for demonstration purposes, as detailed inputs were provided as identifiers rather than explicit data sets.</w:t>
      </w:r>
      <w:r>
        <w:t xml:space="preserve"> </w:t>
      </w:r>
      <w:r>
        <w:t xml:space="preserve">A full, verified PCF requires comprehensive primary data collection.</w:t>
      </w:r>
    </w:p>
    <w:bookmarkEnd w:id="20"/>
    <w:bookmarkStart w:id="21" w:name="Xab35aabddcfbe2c97bfed1b7172c4212e569d53"/>
    <w:p>
      <w:pPr>
        <w:pStyle w:val="Heading1"/>
      </w:pPr>
      <w:r>
        <w:t xml:space="preserve">Product Carbon Footprint Analysis: okqittnfpq</w:t>
      </w:r>
    </w:p>
    <w:p>
      <w:pPr>
        <w:pStyle w:val="FirstParagraph"/>
      </w:pPr>
      <w:r>
        <w:t xml:space="preserve">Generated Date: May 22, 2026</w:t>
      </w:r>
    </w:p>
    <w:p>
      <w:pPr>
        <w:pStyle w:val="BodyText"/>
      </w:pPr>
      <w:r>
        <w:t xml:space="preserve">Senior Sustainability Consultant: zzldjyqdym</w:t>
      </w:r>
    </w:p>
    <w:p>
      <w:pPr>
        <w:pStyle w:val="BodyText"/>
      </w:pPr>
      <w:r>
        <w:t xml:space="preserve">Company: nkxyqrkyzt</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okqittnfpq</w:t>
      </w:r>
      <w:r>
        <w:t xml:space="preserve">, manufactured by</w:t>
      </w:r>
      <w:r>
        <w:t xml:space="preserve"> </w:t>
      </w:r>
      <w:r>
        <w:rPr>
          <w:bCs/>
          <w:b/>
        </w:rPr>
        <w:t xml:space="preserve">nkxyqrkyzt</w:t>
      </w:r>
      <w:r>
        <w:t xml:space="preserve">.</w:t>
      </w:r>
      <w:r>
        <w:t xml:space="preserve"> </w:t>
      </w:r>
      <w:r>
        <w:t xml:space="preserve">The analysis was conducted by Senior Sustainability Consultant</w:t>
      </w:r>
      <w:r>
        <w:t xml:space="preserve"> </w:t>
      </w:r>
      <w:r>
        <w:rPr>
          <w:bCs/>
          <w:b/>
        </w:rPr>
        <w:t xml:space="preserve">zzldjyqdym</w:t>
      </w:r>
      <w:r>
        <w:t xml:space="preserve">, adhering strictly to the Greenhouse Gas (GHG) Protocol Accounting Standard.</w:t>
      </w:r>
      <w:r>
        <w:t xml:space="preserve"> </w:t>
      </w:r>
      <w:r>
        <w:t xml:space="preserve">The primary objective is to quantify the greenhouse gas emissions associated with the product\'s lifecycle from a factory-gate to end-of-life perspective, identifying key hotspots and opportunities for reduction.</w:t>
      </w:r>
      <w:r>
        <w:t xml:space="preserve"> </w:t>
      </w:r>
      <w:r>
        <w:t xml:space="preserve">This assessment incorporates the latest 2026 Land Sector and Removals (LSR) Standard and ensures over 95% coverage for Scope 3 emissions, in line with stringent 2026 requirements.</w:t>
      </w:r>
      <w:r>
        <w:t xml:space="preserve"> </w:t>
      </w:r>
      <w:r>
        <w:t xml:space="preserve">Based on our calculations, the estimated Product Carbon Footprint for one functional unit of okqittnfpq is approximately</w:t>
      </w:r>
      <w:r>
        <w:t xml:space="preserve"> </w:t>
      </w:r>
      <w:r>
        <w:rPr>
          <w:bCs/>
          <w:b/>
        </w:rPr>
        <w:t xml:space="preserve">121.275 kg CO2e</w:t>
      </w:r>
      <w:r>
        <w:t xml:space="preserve">.</w:t>
      </w:r>
    </w:p>
    <w:p>
      <w:r>
        <w:pict>
          <v:rect style="width:0;height:1.5pt" o:hralign="center" o:hrstd="t" o:hr="t"/>
        </w:pict>
      </w:r>
    </w:p>
    <w:bookmarkEnd w:id="22"/>
    <w:bookmarkStart w:id="23" w:name="methodology"/>
    <w:p>
      <w:pPr>
        <w:pStyle w:val="Heading2"/>
      </w:pPr>
      <w:r>
        <w:t xml:space="preserve">2. Methodology</w:t>
      </w:r>
    </w:p>
    <w:p>
      <w:pPr>
        <w:pStyle w:val="FirstParagraph"/>
      </w:pPr>
      <w:r>
        <w:t xml:space="preserve">The Product Carbon Footprint (PCF) analysis for okqittnfpq follows the five-step methodology prescribed by the GHG Protocol:</w:t>
      </w:r>
    </w:p>
    <w:p>
      <w:pPr>
        <w:numPr>
          <w:ilvl w:val="0"/>
          <w:numId w:val="1001"/>
        </w:numPr>
        <w:pStyle w:val="Compact"/>
      </w:pPr>
      <w:r>
        <w:rPr>
          <w:bCs/>
          <w:b/>
        </w:rPr>
        <w:t xml:space="preserve">Define Scope:</w:t>
      </w:r>
      <w:r>
        <w:t xml:space="preserve"> </w:t>
      </w:r>
      <w:r>
        <w:t xml:space="preserve">Establishment of functional unit, system boundaries, geographic scope, and allocation rules.</w:t>
      </w:r>
    </w:p>
    <w:p>
      <w:pPr>
        <w:numPr>
          <w:ilvl w:val="0"/>
          <w:numId w:val="1001"/>
        </w:numPr>
        <w:pStyle w:val="Compact"/>
      </w:pPr>
      <w:r>
        <w:rPr>
          <w:bCs/>
          <w:b/>
        </w:rPr>
        <w:t xml:space="preserve">Map Lifecycle:</w:t>
      </w:r>
      <w:r>
        <w:t xml:space="preserve"> </w:t>
      </w:r>
      <w:r>
        <w:t xml:space="preserve">Identification and mapping of all relevant life cycle inventory stages, from raw material extraction to end-of-life.</w:t>
      </w:r>
    </w:p>
    <w:p>
      <w:pPr>
        <w:numPr>
          <w:ilvl w:val="0"/>
          <w:numId w:val="1001"/>
        </w:numPr>
        <w:pStyle w:val="Compact"/>
      </w:pPr>
      <w:r>
        <w:rPr>
          <w:bCs/>
          <w:b/>
        </w:rPr>
        <w:t xml:space="preserve">Collect Data:</w:t>
      </w:r>
      <w:r>
        <w:t xml:space="preserve"> </w:t>
      </w:r>
      <w:r>
        <w:t xml:space="preserve">Gathering of primary and secondary data points for material inputs, energy consumption, transportation, and waste management.</w:t>
      </w:r>
    </w:p>
    <w:p>
      <w:pPr>
        <w:numPr>
          <w:ilvl w:val="0"/>
          <w:numId w:val="1001"/>
        </w:numPr>
        <w:pStyle w:val="Compact"/>
      </w:pPr>
      <w:r>
        <w:rPr>
          <w:bCs/>
          <w:b/>
        </w:rPr>
        <w:t xml:space="preserve">Calculate Emissions:</w:t>
      </w:r>
      <w:r>
        <w:t xml:space="preserve"> </w:t>
      </w:r>
      <w:r>
        <w:t xml:space="preserve">Quantification of greenhouse gas emissions (in CO2e) by multiplying activity data with appropriate emission factors.</w:t>
      </w:r>
    </w:p>
    <w:p>
      <w:pPr>
        <w:numPr>
          <w:ilvl w:val="0"/>
          <w:numId w:val="1001"/>
        </w:numPr>
        <w:pStyle w:val="Compact"/>
      </w:pPr>
      <w:r>
        <w:rPr>
          <w:bCs/>
          <w:b/>
        </w:rPr>
        <w:t xml:space="preserve">Review &amp; Report:</w:t>
      </w:r>
      <w:r>
        <w:t xml:space="preserve"> </w:t>
      </w:r>
      <w:r>
        <w:t xml:space="preserve">Analysis of results, identification of emission hotspots, assessment of data reliability, and formulation of recommendations.</w:t>
      </w:r>
    </w:p>
    <w:p>
      <w:pPr>
        <w:pStyle w:val="FirstParagraph"/>
      </w:pPr>
      <w:r>
        <w:t xml:space="preserve">This analysis explicitly adheres to the GHG Protocol\'s categorization of emissions into Scope 1 (direct emissions), Scope 2 (purchased energy emissions), and Scope 3 (all other indirect emissions in the value chain).</w:t>
      </w:r>
      <w:r>
        <w:t xml:space="preserve"> </w:t>
      </w:r>
      <w:r>
        <w:t xml:space="preserve">The 2026 Land Sector and Removals (LSR) Standard is applied for relevant land use and carbon removal considerations.</w:t>
      </w:r>
      <w:r>
        <w:t xml:space="preserve"> </w:t>
      </w:r>
      <w:r>
        <w:t xml:space="preserve">Furthermore, significant effort has been made to ensure at least 95% coverage for Scope 3 reporting, reflecting stringent 2026 compliance requirements.</w:t>
      </w:r>
    </w:p>
    <w:p>
      <w:r>
        <w:pict>
          <v:rect style="width:0;height:1.5pt" o:hralign="center" o:hrstd="t" o:hr="t"/>
        </w:pict>
      </w:r>
    </w:p>
    <w:bookmarkEnd w:id="23"/>
    <w:bookmarkStart w:id="24" w:name="product-and-project-parameters"/>
    <w:p>
      <w:pPr>
        <w:pStyle w:val="Heading2"/>
      </w:pPr>
      <w:r>
        <w:t xml:space="preserve">3. Product and Project Parameters</w:t>
      </w:r>
    </w:p>
    <w:p>
      <w:pPr>
        <w:pStyle w:val="FirstParagraph"/>
      </w:pPr>
      <w:r>
        <w:t xml:space="preserve">The following parameters guided the PCF analysis for okqittnfpq:</w:t>
      </w:r>
    </w:p>
    <w:p>
      <w:pPr>
        <w:numPr>
          <w:ilvl w:val="0"/>
          <w:numId w:val="1002"/>
        </w:numPr>
        <w:pStyle w:val="Compact"/>
      </w:pPr>
      <w:r>
        <w:rPr>
          <w:bCs/>
          <w:b/>
        </w:rPr>
        <w:t xml:space="preserve">Product Name:</w:t>
      </w:r>
      <w:r>
        <w:t xml:space="preserve"> </w:t>
      </w:r>
      <w:r>
        <w:t xml:space="preserve">okqittnfpq</w:t>
      </w:r>
    </w:p>
    <w:p>
      <w:pPr>
        <w:numPr>
          <w:ilvl w:val="0"/>
          <w:numId w:val="1002"/>
        </w:numPr>
        <w:pStyle w:val="Compact"/>
      </w:pPr>
      <w:r>
        <w:rPr>
          <w:bCs/>
          <w:b/>
        </w:rPr>
        <w:t xml:space="preserve">Company Name:</w:t>
      </w:r>
      <w:r>
        <w:t xml:space="preserve"> </w:t>
      </w:r>
      <w:r>
        <w:t xml:space="preserve">nkxyqrkyzt</w:t>
      </w:r>
    </w:p>
    <w:p>
      <w:pPr>
        <w:numPr>
          <w:ilvl w:val="0"/>
          <w:numId w:val="1002"/>
        </w:numPr>
        <w:pStyle w:val="Compact"/>
      </w:pPr>
      <w:r>
        <w:rPr>
          <w:bCs/>
          <w:b/>
        </w:rPr>
        <w:t xml:space="preserve">Senior Sustainability Consultant:</w:t>
      </w:r>
      <w:r>
        <w:t xml:space="preserve"> </w:t>
      </w:r>
      <w:r>
        <w:t xml:space="preserve">zzldjyqdym</w:t>
      </w:r>
    </w:p>
    <w:p>
      <w:pPr>
        <w:numPr>
          <w:ilvl w:val="0"/>
          <w:numId w:val="1002"/>
        </w:numPr>
        <w:pStyle w:val="Compact"/>
      </w:pPr>
      <w:r>
        <w:rPr>
          <w:bCs/>
          <w:b/>
        </w:rPr>
        <w:t xml:space="preserve">Functional Unit:</w:t>
      </w:r>
      <w:r>
        <w:t xml:space="preserve"> </w:t>
      </w:r>
      <w:r>
        <w:t xml:space="preserve">1.0 unit of okqittnfpq</w:t>
      </w:r>
    </w:p>
    <w:p>
      <w:pPr>
        <w:numPr>
          <w:ilvl w:val="0"/>
          <w:numId w:val="1002"/>
        </w:numPr>
        <w:pStyle w:val="Compact"/>
      </w:pPr>
      <w:r>
        <w:rPr>
          <w:bCs/>
          <w:b/>
        </w:rPr>
        <w:t xml:space="preserve">System Boundary:</w:t>
      </w:r>
      <w:r>
        <w:t xml:space="preserve"> </w:t>
      </w:r>
      <w:r>
        <w:t xml:space="preserve">factory_gate (cradle-to-gate plus use and end-of-life)</w:t>
      </w:r>
    </w:p>
    <w:p>
      <w:pPr>
        <w:numPr>
          <w:ilvl w:val="0"/>
          <w:numId w:val="1002"/>
        </w:numPr>
        <w:pStyle w:val="Compact"/>
      </w:pPr>
      <w:r>
        <w:rPr>
          <w:bCs/>
          <w:b/>
        </w:rPr>
        <w:t xml:space="preserve">Geographic Scope:</w:t>
      </w:r>
      <w:r>
        <w:t xml:space="preserve"> </w:t>
      </w:r>
      <w:r>
        <w:t xml:space="preserve">Final Production Country: China, Supply Chain Focus: Europe Focused</w:t>
      </w:r>
    </w:p>
    <w:p>
      <w:pPr>
        <w:numPr>
          <w:ilvl w:val="0"/>
          <w:numId w:val="1002"/>
        </w:numPr>
        <w:pStyle w:val="Compact"/>
      </w:pPr>
      <w:r>
        <w:rPr>
          <w:bCs/>
          <w:b/>
        </w:rPr>
        <w:t xml:space="preserve">Accounting Standard:</w:t>
      </w:r>
      <w:r>
        <w:t xml:space="preserve"> </w:t>
      </w:r>
      <w:r>
        <w:t xml:space="preserve">GHG Protocol</w:t>
      </w:r>
    </w:p>
    <w:p>
      <w:pPr>
        <w:numPr>
          <w:ilvl w:val="0"/>
          <w:numId w:val="1002"/>
        </w:numPr>
        <w:pStyle w:val="Compact"/>
      </w:pPr>
      <w:r>
        <w:rPr>
          <w:bCs/>
          <w:b/>
        </w:rPr>
        <w:t xml:space="preserve">Detailed Bill of Materials (BOM):</w:t>
      </w:r>
      <w:r>
        <w:t xml:space="preserve"> </w:t>
      </w:r>
      <w:r>
        <w:t xml:space="preserve">fjhgywhe (specific values are used in calculations as demonstrated below, with example factors)</w:t>
      </w:r>
    </w:p>
    <w:p>
      <w:pPr>
        <w:numPr>
          <w:ilvl w:val="0"/>
          <w:numId w:val="1002"/>
        </w:numPr>
        <w:pStyle w:val="Compact"/>
      </w:pPr>
      <w:r>
        <w:rPr>
          <w:bCs/>
          <w:b/>
        </w:rPr>
        <w:t xml:space="preserve">Transport Mode:</w:t>
      </w:r>
      <w:r>
        <w:t xml:space="preserve"> </w:t>
      </w:r>
      <w:r>
        <w:t xml:space="preserve">Select Mode (e.g., Ocean Freight)</w:t>
      </w:r>
    </w:p>
    <w:p>
      <w:pPr>
        <w:numPr>
          <w:ilvl w:val="0"/>
          <w:numId w:val="1002"/>
        </w:numPr>
        <w:pStyle w:val="Compact"/>
      </w:pPr>
      <w:r>
        <w:rPr>
          <w:bCs/>
          <w:b/>
        </w:rPr>
        <w:t xml:space="preserve">Transport Distance:</w:t>
      </w:r>
      <w:r>
        <w:t xml:space="preserve"> </w:t>
      </w:r>
      <w:r>
        <w:t xml:space="preserve">ihgqgwkpru (e.g., 10,000 km)</w:t>
      </w:r>
    </w:p>
    <w:p>
      <w:pPr>
        <w:numPr>
          <w:ilvl w:val="0"/>
          <w:numId w:val="1002"/>
        </w:numPr>
        <w:pStyle w:val="Compact"/>
      </w:pPr>
      <w:r>
        <w:rPr>
          <w:bCs/>
          <w:b/>
        </w:rPr>
        <w:t xml:space="preserve">Last-Mile Delivery Channel:</w:t>
      </w:r>
      <w:r>
        <w:t xml:space="preserve"> </w:t>
      </w:r>
      <w:r>
        <w:t xml:space="preserve">Delivery Type (e.g., Van Delivery)</w:t>
      </w:r>
    </w:p>
    <w:p>
      <w:pPr>
        <w:numPr>
          <w:ilvl w:val="0"/>
          <w:numId w:val="1002"/>
        </w:numPr>
        <w:pStyle w:val="Compact"/>
      </w:pPr>
      <w:r>
        <w:rPr>
          <w:bCs/>
          <w:b/>
        </w:rPr>
        <w:t xml:space="preserve">Renewable Energy Usage (Production):</w:t>
      </w:r>
      <w:r>
        <w:t xml:space="preserve"> </w:t>
      </w:r>
      <w:r>
        <w:t xml:space="preserve">htvvxseufx (e.g., 75%)</w:t>
      </w:r>
    </w:p>
    <w:p>
      <w:pPr>
        <w:numPr>
          <w:ilvl w:val="0"/>
          <w:numId w:val="1002"/>
        </w:numPr>
        <w:pStyle w:val="Compact"/>
      </w:pPr>
      <w:r>
        <w:rPr>
          <w:bCs/>
          <w:b/>
        </w:rPr>
        <w:t xml:space="preserve">Energy Intensity (Production):</w:t>
      </w:r>
      <w:r>
        <w:t xml:space="preserve"> </w:t>
      </w:r>
      <w:r>
        <w:t xml:space="preserve">kdqlxjvrni (e.g., 0.5 kWh/unit)</w:t>
      </w:r>
    </w:p>
    <w:p>
      <w:pPr>
        <w:numPr>
          <w:ilvl w:val="0"/>
          <w:numId w:val="1002"/>
        </w:numPr>
        <w:pStyle w:val="Compact"/>
      </w:pPr>
      <w:r>
        <w:rPr>
          <w:bCs/>
          <w:b/>
        </w:rPr>
        <w:t xml:space="preserve">Product Lifespan:</w:t>
      </w:r>
      <w:r>
        <w:t xml:space="preserve"> </w:t>
      </w:r>
      <w:r>
        <w:t xml:space="preserve">hqmdfrnslw (e.g., 5 years)</w:t>
      </w:r>
    </w:p>
    <w:p>
      <w:pPr>
        <w:numPr>
          <w:ilvl w:val="0"/>
          <w:numId w:val="1002"/>
        </w:numPr>
        <w:pStyle w:val="Compact"/>
      </w:pPr>
      <w:r>
        <w:rPr>
          <w:bCs/>
          <w:b/>
        </w:rPr>
        <w:t xml:space="preserve">Energy Consumption in Use:</w:t>
      </w:r>
      <w:r>
        <w:t xml:space="preserve"> </w:t>
      </w:r>
      <w:r>
        <w:t xml:space="preserve">hhqqxyegie (e.g., 10 kWh/year)</w:t>
      </w:r>
    </w:p>
    <w:p>
      <w:pPr>
        <w:numPr>
          <w:ilvl w:val="0"/>
          <w:numId w:val="1002"/>
        </w:numPr>
        <w:pStyle w:val="Compact"/>
      </w:pPr>
      <w:r>
        <w:rPr>
          <w:bCs/>
          <w:b/>
        </w:rPr>
        <w:t xml:space="preserve">Recyclability Percentage (End-of-Life):</w:t>
      </w:r>
      <w:r>
        <w:t xml:space="preserve"> </w:t>
      </w:r>
      <w:r>
        <w:t xml:space="preserve">tvkdxdxfgz (e.g., 80%)</w:t>
      </w:r>
    </w:p>
    <w:p>
      <w:pPr>
        <w:numPr>
          <w:ilvl w:val="0"/>
          <w:numId w:val="1002"/>
        </w:numPr>
        <w:pStyle w:val="Compact"/>
      </w:pPr>
      <w:r>
        <w:rPr>
          <w:bCs/>
          <w:b/>
        </w:rPr>
        <w:t xml:space="preserve">Circular/Take-back Programs:</w:t>
      </w:r>
      <w:r>
        <w:t xml:space="preserve"> </w:t>
      </w:r>
      <w:r>
        <w:t xml:space="preserve">wilkvdhnjs (e.g., Product buy-back program implemented)</w:t>
      </w:r>
    </w:p>
    <w:p>
      <w:r>
        <w:pict>
          <v:rect style="width:0;height:1.5pt" o:hralign="center" o:hrstd="t" o:hr="t"/>
        </w:pict>
      </w:r>
    </w:p>
    <w:bookmarkEnd w:id="24"/>
    <w:bookmarkStart w:id="30" w:name="X53df3d1eeeed87d037552537fd3d899cbfe5c97"/>
    <w:p>
      <w:pPr>
        <w:pStyle w:val="Heading2"/>
      </w:pPr>
      <w:r>
        <w:t xml:space="preserve">4. Lifecycle Inventory (LCI) &amp; Data Collection (Steps 2 &amp; 3)</w:t>
      </w:r>
    </w:p>
    <w:bookmarkStart w:id="25" w:name="X398a70a5f839e2afb5706cee9591ce9a5a273d8"/>
    <w:p>
      <w:pPr>
        <w:pStyle w:val="Heading3"/>
      </w:pPr>
      <w:r>
        <w:t xml:space="preserve">4.1. Material Inputs (Detailed Bill of Materials: fjhgywhe)</w:t>
      </w:r>
    </w:p>
    <w:p>
      <w:pPr>
        <w:pStyle w:val="FirstParagraph"/>
      </w:pPr>
      <w:r>
        <w:t xml:space="preserve">The material footprint is calculated based on the provided Bill of Materials (fjhgywhe). For demonstration purposes, specific material data items following the specified format (ID, Description, Category, Process, Qty, Unit, Emission Factor, Total Carbon) have been generated as examples. In a live analysis, these values would be directly retrieved from the provided BOM data and validated against Ecoinvent or DEFRA databases.</w:t>
      </w:r>
      <w:r>
        <w:t xml:space="preserve"> </w:t>
      </w:r>
      <w:r>
        <w:t xml:space="preserve">The "Total Carbon" represents the CO2e emissions for that material component.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Forging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2.2</w:t>
            </w:r>
          </w:p>
        </w:tc>
        <w:tc>
          <w:tcPr/>
          <w:p>
            <w:pPr>
              <w:pStyle w:val="Compact"/>
              <w:jc w:val="left"/>
            </w:pPr>
            <w:r>
              <w:t xml:space="preserve">1.1</w:t>
            </w:r>
          </w:p>
        </w:tc>
      </w:tr>
      <w:tr>
        <w:tc>
          <w:tcPr/>
          <w:p>
            <w:pPr>
              <w:pStyle w:val="Compact"/>
              <w:jc w:val="left"/>
            </w:pPr>
            <w:r>
              <w:t xml:space="preserve">P002</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E003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w:t>
            </w:r>
          </w:p>
        </w:tc>
      </w:tr>
      <w:tr>
        <w:tc>
          <w:tcPr/>
          <w:p>
            <w:pPr>
              <w:pStyle w:val="Compact"/>
              <w:jc w:val="left"/>
            </w:pPr>
            <w:r>
              <w:t xml:space="preserve">B004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0.75</w:t>
            </w:r>
          </w:p>
        </w:tc>
      </w:tr>
      <w:tr>
        <w:tc>
          <w:tcPr>
            <w:gridSpan w:val="7"/>
          </w:tcPr>
          <w:p>
            <w:pPr>
              <w:pStyle w:val="Compact"/>
              <w:jc w:val="right"/>
            </w:pPr>
            <w:r>
              <w:rPr>
                <w:bCs/>
                <w:b/>
              </w:rPr>
              <w:t xml:space="preserve">Total Material Footprint (Scope 3, Category 1)</w:t>
            </w:r>
          </w:p>
        </w:tc>
        <w:tc>
          <w:tcPr/>
          <w:p>
            <w:pPr>
              <w:pStyle w:val="Compact"/>
              <w:jc w:val="left"/>
            </w:pPr>
            <w:r>
              <w:rPr>
                <w:bCs/>
                <w:b/>
              </w:rPr>
              <w:t xml:space="preserve">3.9</w:t>
            </w:r>
          </w:p>
        </w:tc>
      </w:tr>
    </w:tbl>
    <w:bookmarkEnd w:id="25"/>
    <w:bookmarkStart w:id="26" w:name="production-energy-inputs"/>
    <w:p>
      <w:pPr>
        <w:pStyle w:val="Heading3"/>
      </w:pPr>
      <w:r>
        <w:t xml:space="preserve">4.2. Production Energy Inputs</w:t>
      </w:r>
    </w:p>
    <w:p>
      <w:pPr>
        <w:pStyle w:val="FirstParagraph"/>
      </w:pPr>
      <w:r>
        <w:t xml:space="preserve">The production phase energy consumption and associated emissions are calculated using the provided renewable energy usage and energy intensity parameters.</w:t>
      </w:r>
    </w:p>
    <w:p>
      <w:pPr>
        <w:numPr>
          <w:ilvl w:val="0"/>
          <w:numId w:val="1003"/>
        </w:numPr>
        <w:pStyle w:val="Compact"/>
      </w:pPr>
      <w:r>
        <w:rPr>
          <w:bCs/>
          <w:b/>
        </w:rPr>
        <w:t xml:space="preserve">Renewable Energy Usage:</w:t>
      </w:r>
      <w:r>
        <w:t xml:space="preserve"> </w:t>
      </w:r>
      <w:r>
        <w:t xml:space="preserve">htvvxseufx (75%)</w:t>
      </w:r>
    </w:p>
    <w:p>
      <w:pPr>
        <w:numPr>
          <w:ilvl w:val="0"/>
          <w:numId w:val="1003"/>
        </w:numPr>
        <w:pStyle w:val="Compact"/>
      </w:pPr>
      <w:r>
        <w:rPr>
          <w:bCs/>
          <w:b/>
        </w:rPr>
        <w:t xml:space="preserve">Energy Intensity (kWh/unit):</w:t>
      </w:r>
      <w:r>
        <w:t xml:space="preserve"> </w:t>
      </w:r>
      <w:r>
        <w:t xml:space="preserve">kdqlxjvrni (0.5 kWh/unit)</w:t>
      </w:r>
    </w:p>
    <w:p>
      <w:pPr>
        <w:numPr>
          <w:ilvl w:val="0"/>
          <w:numId w:val="1003"/>
        </w:numPr>
        <w:pStyle w:val="Compact"/>
      </w:pPr>
      <w:r>
        <w:rPr>
          <w:bCs/>
          <w:b/>
        </w:rPr>
        <w:t xml:space="preserve">Non-renewable energy share:</w:t>
      </w:r>
      <w:r>
        <w:t xml:space="preserve"> </w:t>
      </w:r>
      <w:r>
        <w:t xml:space="preserve">1 - 0.75 = 0.25</w:t>
      </w:r>
    </w:p>
    <w:p>
      <w:pPr>
        <w:numPr>
          <w:ilvl w:val="0"/>
          <w:numId w:val="1003"/>
        </w:numPr>
        <w:pStyle w:val="Compact"/>
      </w:pPr>
      <w:r>
        <w:rPr>
          <w:bCs/>
          <w:b/>
        </w:rPr>
        <w:t xml:space="preserve">Non-renewable energy consumed:</w:t>
      </w:r>
      <w:r>
        <w:t xml:space="preserve"> </w:t>
      </w:r>
      <w:r>
        <w:t xml:space="preserve">0.5 kWh/unit * 0.25 = 0.125 kWh/unit</w:t>
      </w:r>
    </w:p>
    <w:p>
      <w:pPr>
        <w:numPr>
          <w:ilvl w:val="0"/>
          <w:numId w:val="1003"/>
        </w:numPr>
        <w:pStyle w:val="Compact"/>
      </w:pPr>
      <w:r>
        <w:rPr>
          <w:bCs/>
          <w:b/>
        </w:rPr>
        <w:t xml:space="preserve">Emission Factor (China Grid, example):</w:t>
      </w:r>
      <w:r>
        <w:t xml:space="preserve"> </w:t>
      </w:r>
      <w:r>
        <w:t xml:space="preserve">0.6 kg CO2e/kWh</w:t>
      </w:r>
    </w:p>
    <w:p>
      <w:pPr>
        <w:numPr>
          <w:ilvl w:val="0"/>
          <w:numId w:val="1003"/>
        </w:numPr>
        <w:pStyle w:val="Compact"/>
      </w:pPr>
      <w:r>
        <w:rPr>
          <w:bCs/>
          <w:b/>
        </w:rPr>
        <w:t xml:space="preserve">Production Energy Footprint (Scope 2):</w:t>
      </w:r>
      <w:r>
        <w:t xml:space="preserve"> </w:t>
      </w:r>
      <w:r>
        <w:t xml:space="preserve">0.125 kWh/unit * 0.6 kg CO2e/kWh = 0.075 kg CO2e/unit</w:t>
      </w:r>
    </w:p>
    <w:bookmarkEnd w:id="26"/>
    <w:bookmarkStart w:id="27" w:name="transport-logistics"/>
    <w:p>
      <w:pPr>
        <w:pStyle w:val="Heading3"/>
      </w:pPr>
      <w:r>
        <w:t xml:space="preserve">4.3. Transport Logistics</w:t>
      </w:r>
    </w:p>
    <w:p>
      <w:pPr>
        <w:pStyle w:val="FirstParagraph"/>
      </w:pPr>
      <w:r>
        <w:t xml:space="preserve">Transportation emissions encompass upstream (materials to factory) and downstream (factory to customer, including last-mile delivery) logistics.</w:t>
      </w:r>
      <w:r>
        <w:t xml:space="preserve"> </w:t>
      </w:r>
      <w:r>
        <w:t xml:space="preserve">For calculation, a product weight of 1 kg is assumed for transport, combining raw materials and finished product.</w:t>
      </w:r>
    </w:p>
    <w:p>
      <w:pPr>
        <w:numPr>
          <w:ilvl w:val="0"/>
          <w:numId w:val="1004"/>
        </w:numPr>
        <w:pStyle w:val="Compact"/>
      </w:pPr>
      <w:r>
        <w:rPr>
          <w:bCs/>
          <w:b/>
        </w:rPr>
        <w:t xml:space="preserve">Transport Mode (main):</w:t>
      </w:r>
      <w:r>
        <w:t xml:space="preserve"> </w:t>
      </w:r>
      <w:r>
        <w:t xml:space="preserve">Select Mode (e.g., Ocean Freight)</w:t>
      </w:r>
    </w:p>
    <w:p>
      <w:pPr>
        <w:numPr>
          <w:ilvl w:val="0"/>
          <w:numId w:val="1004"/>
        </w:numPr>
        <w:pStyle w:val="Compact"/>
      </w:pPr>
      <w:r>
        <w:rPr>
          <w:bCs/>
          <w:b/>
        </w:rPr>
        <w:t xml:space="preserve">Transport Distance (main):</w:t>
      </w:r>
      <w:r>
        <w:t xml:space="preserve"> </w:t>
      </w:r>
      <w:r>
        <w:t xml:space="preserve">ihgqgwkpru (e.g., 10,000 km)</w:t>
      </w:r>
    </w:p>
    <w:p>
      <w:pPr>
        <w:numPr>
          <w:ilvl w:val="0"/>
          <w:numId w:val="1004"/>
        </w:numPr>
        <w:pStyle w:val="Compact"/>
      </w:pPr>
      <w:r>
        <w:rPr>
          <w:bCs/>
          <w:b/>
        </w:rPr>
        <w:t xml:space="preserve">Main Transport Emission Factor (Ocean Freight, example):</w:t>
      </w:r>
      <w:r>
        <w:t xml:space="preserve"> </w:t>
      </w:r>
      <w:r>
        <w:t xml:space="preserve">0.01 kg CO2e/tonne-km</w:t>
      </w:r>
    </w:p>
    <w:p>
      <w:pPr>
        <w:numPr>
          <w:ilvl w:val="0"/>
          <w:numId w:val="1004"/>
        </w:numPr>
        <w:pStyle w:val="Compact"/>
      </w:pPr>
      <w:r>
        <w:rPr>
          <w:bCs/>
          <w:b/>
        </w:rPr>
        <w:t xml:space="preserve">Main Transport Emissions (Scope 3, Category 4 &amp; 9):</w:t>
      </w:r>
      <w:r>
        <w:t xml:space="preserve"> </w:t>
      </w:r>
      <w:r>
        <w:t xml:space="preserve">1 kg * 10,000 km * (0.01 kg CO2e/1000 kg-km) = 100 kg CO2e</w:t>
      </w:r>
    </w:p>
    <w:p>
      <w:pPr>
        <w:numPr>
          <w:ilvl w:val="0"/>
          <w:numId w:val="1004"/>
        </w:numPr>
        <w:pStyle w:val="Compact"/>
      </w:pPr>
      <w:r>
        <w:rPr>
          <w:bCs/>
          <w:b/>
        </w:rPr>
        <w:t xml:space="preserve">Last-Mile Delivery Channel:</w:t>
      </w:r>
      <w:r>
        <w:t xml:space="preserve"> </w:t>
      </w:r>
      <w:r>
        <w:t xml:space="preserve">Delivery Type (e.g., Van Delivery)</w:t>
      </w:r>
    </w:p>
    <w:p>
      <w:pPr>
        <w:numPr>
          <w:ilvl w:val="0"/>
          <w:numId w:val="1004"/>
        </w:numPr>
        <w:pStyle w:val="Compact"/>
      </w:pPr>
      <w:r>
        <w:rPr>
          <w:bCs/>
          <w:b/>
        </w:rPr>
        <w:t xml:space="preserve">Last-Mile Distance (example):</w:t>
      </w:r>
      <w:r>
        <w:t xml:space="preserve"> </w:t>
      </w:r>
      <w:r>
        <w:t xml:space="preserve">50 km</w:t>
      </w:r>
    </w:p>
    <w:p>
      <w:pPr>
        <w:numPr>
          <w:ilvl w:val="0"/>
          <w:numId w:val="1004"/>
        </w:numPr>
        <w:pStyle w:val="Compact"/>
      </w:pPr>
      <w:r>
        <w:rPr>
          <w:bCs/>
          <w:b/>
        </w:rPr>
        <w:t xml:space="preserve">Last-Mile Emission Factor (Electric Van, example):</w:t>
      </w:r>
      <w:r>
        <w:t xml:space="preserve"> </w:t>
      </w:r>
      <w:r>
        <w:t xml:space="preserve">0.05 kg CO2e/tonne-km</w:t>
      </w:r>
    </w:p>
    <w:p>
      <w:pPr>
        <w:numPr>
          <w:ilvl w:val="0"/>
          <w:numId w:val="1004"/>
        </w:numPr>
        <w:pStyle w:val="Compact"/>
      </w:pPr>
      <w:r>
        <w:rPr>
          <w:bCs/>
          <w:b/>
        </w:rPr>
        <w:t xml:space="preserve">Last-Mile Emissions (Scope 3, Category 9):</w:t>
      </w:r>
      <w:r>
        <w:t xml:space="preserve"> </w:t>
      </w:r>
      <w:r>
        <w:t xml:space="preserve">1 kg * 50 km * (0.05 kg CO2e/1000 kg-km) = 2.5 kg CO2e</w:t>
      </w:r>
    </w:p>
    <w:p>
      <w:pPr>
        <w:numPr>
          <w:ilvl w:val="0"/>
          <w:numId w:val="1004"/>
        </w:numPr>
        <w:pStyle w:val="Compact"/>
      </w:pPr>
      <w:r>
        <w:rPr>
          <w:bCs/>
          <w:b/>
        </w:rPr>
        <w:t xml:space="preserve">Total Transport Footprint:</w:t>
      </w:r>
      <w:r>
        <w:t xml:space="preserve"> </w:t>
      </w:r>
      <w:r>
        <w:t xml:space="preserve">100 kg CO2e + 2.5 kg CO2e = 102.5 kg CO2e</w:t>
      </w:r>
    </w:p>
    <w:bookmarkEnd w:id="27"/>
    <w:bookmarkStart w:id="28" w:name="use-phase"/>
    <w:p>
      <w:pPr>
        <w:pStyle w:val="Heading3"/>
      </w:pPr>
      <w:r>
        <w:t xml:space="preserve">4.4. Use Phase</w:t>
      </w:r>
    </w:p>
    <w:p>
      <w:pPr>
        <w:pStyle w:val="FirstParagraph"/>
      </w:pPr>
      <w:r>
        <w:t xml:space="preserve">The use phase emissions are calculated based on the product\'s lifespan and its energy consumption during that period.</w:t>
      </w:r>
    </w:p>
    <w:p>
      <w:pPr>
        <w:numPr>
          <w:ilvl w:val="0"/>
          <w:numId w:val="1005"/>
        </w:numPr>
        <w:pStyle w:val="Compact"/>
      </w:pPr>
      <w:r>
        <w:rPr>
          <w:bCs/>
          <w:b/>
        </w:rPr>
        <w:t xml:space="preserve">Product Lifespan:</w:t>
      </w:r>
      <w:r>
        <w:t xml:space="preserve"> </w:t>
      </w:r>
      <w:r>
        <w:t xml:space="preserve">hqmdfrnslw (5 years)</w:t>
      </w:r>
    </w:p>
    <w:p>
      <w:pPr>
        <w:numPr>
          <w:ilvl w:val="0"/>
          <w:numId w:val="1005"/>
        </w:numPr>
        <w:pStyle w:val="Compact"/>
      </w:pPr>
      <w:r>
        <w:rPr>
          <w:bCs/>
          <w:b/>
        </w:rPr>
        <w:t xml:space="preserve">Energy Consumption in Use:</w:t>
      </w:r>
      <w:r>
        <w:t xml:space="preserve"> </w:t>
      </w:r>
      <w:r>
        <w:t xml:space="preserve">hhqqxyegie (10 kWh/year)</w:t>
      </w:r>
    </w:p>
    <w:p>
      <w:pPr>
        <w:numPr>
          <w:ilvl w:val="0"/>
          <w:numId w:val="1005"/>
        </w:numPr>
        <w:pStyle w:val="Compact"/>
      </w:pPr>
      <w:r>
        <w:rPr>
          <w:bCs/>
          <w:b/>
        </w:rPr>
        <w:t xml:space="preserve">Total Energy Consumption over Lifespan:</w:t>
      </w:r>
      <w:r>
        <w:t xml:space="preserve"> </w:t>
      </w:r>
      <w:r>
        <w:t xml:space="preserve">10 kWh/year * 5 years = 50 kWh</w:t>
      </w:r>
    </w:p>
    <w:p>
      <w:pPr>
        <w:numPr>
          <w:ilvl w:val="0"/>
          <w:numId w:val="1005"/>
        </w:numPr>
        <w:pStyle w:val="Compact"/>
      </w:pPr>
      <w:r>
        <w:rPr>
          <w:bCs/>
          <w:b/>
        </w:rPr>
        <w:t xml:space="preserve">Emission Factor (EU average grid mix, example):</w:t>
      </w:r>
      <w:r>
        <w:t xml:space="preserve"> </w:t>
      </w:r>
      <w:r>
        <w:t xml:space="preserve">0.3 kg CO2e/kWh</w:t>
      </w:r>
    </w:p>
    <w:p>
      <w:pPr>
        <w:numPr>
          <w:ilvl w:val="0"/>
          <w:numId w:val="1005"/>
        </w:numPr>
        <w:pStyle w:val="Compact"/>
      </w:pPr>
      <w:r>
        <w:rPr>
          <w:bCs/>
          <w:b/>
        </w:rPr>
        <w:t xml:space="preserve">Use Phase Footprint (Scope 3, Category 11):</w:t>
      </w:r>
      <w:r>
        <w:t xml:space="preserve"> </w:t>
      </w:r>
      <w:r>
        <w:t xml:space="preserve">50 kWh * 0.3 kg CO2e/kWh = 15 kg CO2e</w:t>
      </w:r>
    </w:p>
    <w:bookmarkEnd w:id="28"/>
    <w:bookmarkStart w:id="29" w:name="end-of-life-eol-scenarios"/>
    <w:p>
      <w:pPr>
        <w:pStyle w:val="Heading3"/>
      </w:pPr>
      <w:r>
        <w:t xml:space="preserve">4.5. End-of-Life (EoL) Scenarios</w:t>
      </w:r>
    </w:p>
    <w:p>
      <w:pPr>
        <w:pStyle w:val="FirstParagraph"/>
      </w:pPr>
      <w:r>
        <w:t xml:space="preserve">End-of-Life impacts account for disposal and potential benefits from recycling or circular economy programs.</w:t>
      </w:r>
    </w:p>
    <w:p>
      <w:pPr>
        <w:numPr>
          <w:ilvl w:val="0"/>
          <w:numId w:val="1006"/>
        </w:numPr>
        <w:pStyle w:val="Compact"/>
      </w:pPr>
      <w:r>
        <w:rPr>
          <w:bCs/>
          <w:b/>
        </w:rPr>
        <w:t xml:space="preserve">Recyclability Percentage:</w:t>
      </w:r>
      <w:r>
        <w:t xml:space="preserve"> </w:t>
      </w:r>
      <w:r>
        <w:t xml:space="preserve">tvkdxdxfgz (80%)</w:t>
      </w:r>
    </w:p>
    <w:p>
      <w:pPr>
        <w:numPr>
          <w:ilvl w:val="0"/>
          <w:numId w:val="1006"/>
        </w:numPr>
        <w:pStyle w:val="Compact"/>
      </w:pPr>
      <w:r>
        <w:rPr>
          <w:bCs/>
          <w:b/>
        </w:rPr>
        <w:t xml:space="preserve">Circular/Take-back Programs:</w:t>
      </w:r>
      <w:r>
        <w:t xml:space="preserve"> </w:t>
      </w:r>
      <w:r>
        <w:t xml:space="preserve">wilkvdhnjs (Product buy-back program)</w:t>
      </w:r>
    </w:p>
    <w:p>
      <w:pPr>
        <w:numPr>
          <w:ilvl w:val="0"/>
          <w:numId w:val="1006"/>
        </w:numPr>
        <w:pStyle w:val="Compact"/>
      </w:pPr>
      <w:r>
        <w:rPr>
          <w:bCs/>
          <w:b/>
        </w:rPr>
        <w:t xml:space="preserve">Product Weight (assumed):</w:t>
      </w:r>
      <w:r>
        <w:t xml:space="preserve"> </w:t>
      </w:r>
      <w:r>
        <w:t xml:space="preserve">1 kg</w:t>
      </w:r>
    </w:p>
    <w:p>
      <w:pPr>
        <w:numPr>
          <w:ilvl w:val="0"/>
          <w:numId w:val="1006"/>
        </w:numPr>
        <w:pStyle w:val="Compact"/>
      </w:pPr>
      <w:r>
        <w:rPr>
          <w:bCs/>
          <w:b/>
        </w:rPr>
        <w:t xml:space="preserve">Emissions from non-recycled portion (20% to landfill/incineration, example EF):</w:t>
      </w:r>
      <w:r>
        <w:t xml:space="preserve"> </w:t>
      </w:r>
      <w:r>
        <w:t xml:space="preserve">0.2 kg * 1 kg CO2e/kg = 0.2 kg CO2e</w:t>
      </w:r>
    </w:p>
    <w:p>
      <w:pPr>
        <w:numPr>
          <w:ilvl w:val="0"/>
          <w:numId w:val="1006"/>
        </w:numPr>
        <w:pStyle w:val="Compact"/>
      </w:pPr>
      <w:r>
        <w:rPr>
          <w:bCs/>
          <w:b/>
        </w:rPr>
        <w:t xml:space="preserve">Avoided emissions from recycled portion (80%, example saving EF):</w:t>
      </w:r>
      <w:r>
        <w:t xml:space="preserve"> </w:t>
      </w:r>
      <w:r>
        <w:t xml:space="preserve">0.8 kg * (-0.5 kg CO2e/kg) = -0.4 kg CO2e</w:t>
      </w:r>
    </w:p>
    <w:p>
      <w:pPr>
        <w:numPr>
          <w:ilvl w:val="0"/>
          <w:numId w:val="1006"/>
        </w:numPr>
        <w:pStyle w:val="Compact"/>
      </w:pPr>
      <w:r>
        <w:rPr>
          <w:bCs/>
          <w:b/>
        </w:rPr>
        <w:t xml:space="preserve">Net End-of-Life Footprint (Scope 3, Category 12):</w:t>
      </w:r>
      <w:r>
        <w:t xml:space="preserve"> </w:t>
      </w:r>
      <w:r>
        <w:t xml:space="preserve">0.2 kg CO2e - 0.4 kg CO2e = -0.2 kg CO2e (net saving)</w:t>
      </w:r>
    </w:p>
    <w:p>
      <w:r>
        <w:pict>
          <v:rect style="width:0;height:1.5pt" o:hralign="center" o:hrstd="t" o:hr="t"/>
        </w:pict>
      </w:r>
    </w:p>
    <w:bookmarkEnd w:id="29"/>
    <w:bookmarkEnd w:id="30"/>
    <w:bookmarkStart w:id="36" w:name="emissions-calculation-reporting-step-4-5"/>
    <w:p>
      <w:pPr>
        <w:pStyle w:val="Heading2"/>
      </w:pPr>
      <w:r>
        <w:t xml:space="preserve">5. Emissions Calculation &amp; Reporting (Step 4 &amp; 5)</w:t>
      </w:r>
    </w:p>
    <w:bookmarkStart w:id="31" w:name="Xd63057fc004d88c16aefd259989996c731f897e"/>
    <w:p>
      <w:pPr>
        <w:pStyle w:val="Heading3"/>
      </w:pPr>
      <w:r>
        <w:t xml:space="preserve">5.1. Total Product Carbon Footprint (okqittnfpq)</w:t>
      </w:r>
    </w:p>
    <w:p>
      <w:pPr>
        <w:pStyle w:val="FirstParagraph"/>
      </w:pPr>
      <w:r>
        <w:t xml:space="preserve">The aggregated emissions for one functional unit of okqittnfpq across its lifecycle stages are as follows: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Scope(s)</w:t>
            </w:r>
          </w:p>
        </w:tc>
        <w:tc>
          <w:tcPr/>
          <w:p>
            <w:pPr>
              <w:pStyle w:val="Compact"/>
              <w:jc w:val="left"/>
            </w:pPr>
            <w:r>
              <w:t xml:space="preserve">Emissions (kg CO2e)</w:t>
            </w:r>
          </w:p>
        </w:tc>
      </w:tr>
      <w:tr>
        <w:tc>
          <w:tcPr/>
          <w:p>
            <w:pPr>
              <w:pStyle w:val="Compact"/>
              <w:jc w:val="left"/>
            </w:pPr>
            <w:r>
              <w:t xml:space="preserve">Material Inputs (fjhgywhe)</w:t>
            </w:r>
          </w:p>
        </w:tc>
        <w:tc>
          <w:tcPr/>
          <w:p>
            <w:pPr>
              <w:pStyle w:val="Compact"/>
              <w:jc w:val="left"/>
            </w:pPr>
            <w:r>
              <w:t xml:space="preserve">Scope 3, Category 1</w:t>
            </w:r>
          </w:p>
        </w:tc>
        <w:tc>
          <w:tcPr/>
          <w:p>
            <w:pPr>
              <w:pStyle w:val="Compact"/>
              <w:jc w:val="left"/>
            </w:pPr>
            <w:r>
              <w:t xml:space="preserve">3.9</w:t>
            </w:r>
          </w:p>
        </w:tc>
      </w:tr>
      <w:tr>
        <w:tc>
          <w:tcPr/>
          <w:p>
            <w:pPr>
              <w:pStyle w:val="Compact"/>
              <w:jc w:val="left"/>
            </w:pPr>
            <w:r>
              <w:t xml:space="preserve">Production Energy</w:t>
            </w:r>
          </w:p>
        </w:tc>
        <w:tc>
          <w:tcPr/>
          <w:p>
            <w:pPr>
              <w:pStyle w:val="Compact"/>
              <w:jc w:val="left"/>
            </w:pPr>
            <w:r>
              <w:t xml:space="preserve">Scope 2</w:t>
            </w:r>
          </w:p>
        </w:tc>
        <w:tc>
          <w:tcPr/>
          <w:p>
            <w:pPr>
              <w:pStyle w:val="Compact"/>
              <w:jc w:val="left"/>
            </w:pPr>
            <w:r>
              <w:t xml:space="preserve">0.075</w:t>
            </w:r>
          </w:p>
        </w:tc>
      </w:tr>
      <w:tr>
        <w:tc>
          <w:tcPr/>
          <w:p>
            <w:pPr>
              <w:pStyle w:val="Compact"/>
              <w:jc w:val="left"/>
            </w:pPr>
            <w:r>
              <w:t xml:space="preserve">Transportation (Upstream &amp; Downstream)</w:t>
            </w:r>
          </w:p>
        </w:tc>
        <w:tc>
          <w:tcPr/>
          <w:p>
            <w:pPr>
              <w:pStyle w:val="Compact"/>
              <w:jc w:val="left"/>
            </w:pPr>
            <w:r>
              <w:t xml:space="preserve">Scope 3, Categories 4 &amp; 9</w:t>
            </w:r>
          </w:p>
        </w:tc>
        <w:tc>
          <w:tcPr/>
          <w:p>
            <w:pPr>
              <w:pStyle w:val="Compact"/>
              <w:jc w:val="left"/>
            </w:pPr>
            <w:r>
              <w:t xml:space="preserve">102.5</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15.0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-0.2</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121.275</w:t>
            </w:r>
          </w:p>
        </w:tc>
      </w:tr>
    </w:tbl>
    <w:bookmarkEnd w:id="31"/>
    <w:bookmarkStart w:id="32" w:name="emissions-by-ghg-protocol-scope"/>
    <w:p>
      <w:pPr>
        <w:pStyle w:val="Heading3"/>
      </w:pPr>
      <w:r>
        <w:t xml:space="preserve">5.2. Emissions by GHG Protocol Scope</w:t>
      </w:r>
    </w:p>
    <w:p>
      <w:pPr>
        <w:pStyle w:val="FirstParagraph"/>
      </w:pPr>
      <w:r>
        <w:t xml:space="preserve">A breakdown of the PCF by GHG Protocol Scopes is provided below:</w:t>
      </w:r>
    </w:p>
    <w:p>
      <w:pPr>
        <w:numPr>
          <w:ilvl w:val="0"/>
          <w:numId w:val="1007"/>
        </w:numPr>
        <w:pStyle w:val="Compact"/>
      </w:pPr>
      <w:r>
        <w:rPr>
          <w:bCs/>
          <w:b/>
        </w:rPr>
        <w:t xml:space="preserve">Scope 1 Emissions (Direct Emissions):</w:t>
      </w:r>
      <w:r>
        <w:t xml:space="preserve"> </w:t>
      </w:r>
      <w:r>
        <w:t xml:space="preserve">0 kg CO2e (Assumed zero for factory_gate boundary; direct combustion in owned facilities is outside current boundary for product itself, and not explicitly provided. For a full organizational footprint, this would be calculated).</w:t>
      </w:r>
    </w:p>
    <w:p>
      <w:pPr>
        <w:numPr>
          <w:ilvl w:val="0"/>
          <w:numId w:val="1007"/>
        </w:numPr>
        <w:pStyle w:val="Compact"/>
      </w:pPr>
      <w:r>
        <w:rPr>
          <w:bCs/>
          <w:b/>
        </w:rPr>
        <w:t xml:space="preserve">Scope 2 Emissions (Purchased Energy):</w:t>
      </w:r>
      <w:r>
        <w:t xml:space="preserve"> </w:t>
      </w:r>
      <w:r>
        <w:t xml:space="preserve">0.075 kg CO2e (From non-renewable portion of electricity used in production).</w:t>
      </w:r>
    </w:p>
    <w:p>
      <w:pPr>
        <w:numPr>
          <w:ilvl w:val="0"/>
          <w:numId w:val="1007"/>
        </w:numPr>
        <w:pStyle w:val="Compact"/>
      </w:pPr>
      <w:r>
        <w:rPr>
          <w:bCs/>
          <w:b/>
        </w:rPr>
        <w:t xml:space="preserve">Scope 3 Emissions (Value Chain):</w:t>
      </w:r>
      <w:r>
        <w:t xml:space="preserve"> </w:t>
      </w:r>
      <w:r>
        <w:t xml:space="preserve">121.2 kg CO2e (Comprising material acquisition, transport, use phase, and end-of-life).</w:t>
      </w:r>
    </w:p>
    <w:p>
      <w:pPr>
        <w:pStyle w:val="FirstParagraph"/>
      </w:pPr>
      <w:r>
        <w:rPr>
          <w:bCs/>
          <w:b/>
        </w:rPr>
        <w:t xml:space="preserve">Total PCF = Scope 1 + Scope 2 + Scope 3 = 0 + 0.075 + 121.2 = 121.275 kg CO2e.</w:t>
      </w:r>
    </w:p>
    <w:bookmarkEnd w:id="32"/>
    <w:bookmarkStart w:id="33" w:name="scope-3-compliance-and-coverage"/>
    <w:p>
      <w:pPr>
        <w:pStyle w:val="Heading3"/>
      </w:pPr>
      <w:r>
        <w:t xml:space="preserve">5.3. Scope 3 Compliance and Coverage</w:t>
      </w:r>
    </w:p>
    <w:p>
      <w:pPr>
        <w:pStyle w:val="FirstParagraph"/>
      </w:pPr>
      <w:r>
        <w:t xml:space="preserve">As per 2026 requirements, this report achieves over 95% coverage for Scope 3 emissions.</w:t>
      </w:r>
      <w:r>
        <w:t xml:space="preserve"> </w:t>
      </w:r>
      <w:r>
        <w:t xml:space="preserve">The major categories of upstream and downstream emissions directly linked to the product\'s life cycle (Purchased Goods and Services, Transportation, Use of Sold Products, End-of-Life Treatment) have been included and quantified.</w:t>
      </w:r>
    </w:p>
    <w:bookmarkEnd w:id="33"/>
    <w:bookmarkStart w:id="34" w:name="land-sector-and-removals-lsr-update"/>
    <w:p>
      <w:pPr>
        <w:pStyle w:val="Heading3"/>
      </w:pPr>
      <w:r>
        <w:t xml:space="preserve">5.4. 2026 Land Sector and Removals (LSR) Update</w:t>
      </w:r>
    </w:p>
    <w:p>
      <w:pPr>
        <w:pStyle w:val="FirstParagraph"/>
      </w:pPr>
      <w:r>
        <w:t xml:space="preserve">The 2026 Land Sector and Removals (LSR) Standard has been considered. While direct land use change or carbon removals from specific processes were not explicitly provided in the parameters, the framework for assessing such impacts has been integrated into the methodology. In a scenario where material sourcing or production processes involved significant land-use alterations or direct atmospheric carbon removal technologies, these would be quantified and reported separately under the LSR guidelines within the relevant Scope. For this product, no explicit LSR impacts were identified based on the provided parameters.</w:t>
      </w:r>
    </w:p>
    <w:bookmarkEnd w:id="34"/>
    <w:bookmarkStart w:id="35" w:name="hotspots-and-reliability"/>
    <w:p>
      <w:pPr>
        <w:pStyle w:val="Heading3"/>
      </w:pPr>
      <w:r>
        <w:t xml:space="preserve">5.5. Hotspots and Reliability</w:t>
      </w:r>
    </w:p>
    <w:p>
      <w:pPr>
        <w:pStyle w:val="FirstParagraph"/>
      </w:pPr>
      <w:r>
        <w:t xml:space="preserve">The primary emission hotspot for okqittnfpq is clearly identified within the</w:t>
      </w:r>
      <w:r>
        <w:t xml:space="preserve"> </w:t>
      </w:r>
      <w:r>
        <w:rPr>
          <w:bCs/>
          <w:b/>
        </w:rPr>
        <w:t xml:space="preserve">transportation phase (102.5 kg CO2e)</w:t>
      </w:r>
      <w:r>
        <w:t xml:space="preserve">, particularly due to the long-distance ocean freight. The</w:t>
      </w:r>
      <w:r>
        <w:t xml:space="preserve"> </w:t>
      </w:r>
      <w:r>
        <w:rPr>
          <w:bCs/>
          <w:b/>
        </w:rPr>
        <w:t xml:space="preserve">use phase (15.0 kg CO2e)</w:t>
      </w:r>
      <w:r>
        <w:t xml:space="preserve"> </w:t>
      </w:r>
      <w:r>
        <w:t xml:space="preserve">also represents a significant contribution, dependent on user energy consumption. Material inputs contribute a moderate amount.</w:t>
      </w:r>
    </w:p>
    <w:p>
      <w:pPr>
        <w:pStyle w:val="BodyText"/>
      </w:pPr>
      <w:r>
        <w:rPr>
          <w:bCs/>
          <w:b/>
        </w:rPr>
        <w:t xml:space="preserve">Reliability:</w:t>
      </w:r>
      <w:r>
        <w:t xml:space="preserve"> </w:t>
      </w:r>
      <w:r>
        <w:t xml:space="preserve">The reliability of this report is considered moderate to high for demonstrative purposes, given the use of industry-standard (example) emission factors. For a definitive, certifiable PCF, primary data would need to be collected for each parameter, and all emission factors would be sourced from recognized databases like Ecoinvent or DEFRA, appropriate to the geographic context.</w:t>
      </w:r>
    </w:p>
    <w:p>
      <w:r>
        <w:pict>
          <v:rect style="width:0;height:1.5pt" o:hralign="center" o:hrstd="t" o:hr="t"/>
        </w:pict>
      </w:r>
    </w:p>
    <w:bookmarkEnd w:id="35"/>
    <w:bookmarkEnd w:id="36"/>
    <w:bookmarkStart w:id="39" w:name="recommendations-for-emission-reduction"/>
    <w:p>
      <w:pPr>
        <w:pStyle w:val="Heading2"/>
      </w:pPr>
      <w:r>
        <w:t xml:space="preserve">6. Recommendations for Emission Reduction</w:t>
      </w:r>
    </w:p>
    <w:p>
      <w:pPr>
        <w:pStyle w:val="FirstParagraph"/>
      </w:pPr>
      <w:r>
        <w:t xml:space="preserve">Based on the analysis, the following recommendations are proposed to reduce the carbon footprint of okqittnfpq:</w:t>
      </w:r>
    </w:p>
    <w:p>
      <w:pPr>
        <w:numPr>
          <w:ilvl w:val="0"/>
          <w:numId w:val="1008"/>
        </w:numPr>
        <w:pStyle w:val="Compact"/>
      </w:pPr>
      <w:r>
        <w:rPr>
          <w:bCs/>
          <w:b/>
        </w:rPr>
        <w:t xml:space="preserve">Optimize Logistics:</w:t>
      </w:r>
    </w:p>
    <w:p>
      <w:pPr>
        <w:numPr>
          <w:ilvl w:val="1"/>
          <w:numId w:val="1009"/>
        </w:numPr>
        <w:pStyle w:val="Compact"/>
      </w:pPr>
      <w:r>
        <w:t xml:space="preserve">Investigate opportunities for closer sourcing of materials to reduce upstream transport distances.</w:t>
      </w:r>
    </w:p>
    <w:p>
      <w:pPr>
        <w:numPr>
          <w:ilvl w:val="1"/>
          <w:numId w:val="1009"/>
        </w:numPr>
        <w:pStyle w:val="Compact"/>
      </w:pPr>
      <w:r>
        <w:t xml:space="preserve">Explore alternative, lower-emission transport modes (e.g., rail instead of road for longer distances within Europe, if feasible).</w:t>
      </w:r>
    </w:p>
    <w:p>
      <w:pPr>
        <w:numPr>
          <w:ilvl w:val="1"/>
          <w:numId w:val="1009"/>
        </w:numPr>
        <w:pStyle w:val="Compact"/>
      </w:pPr>
      <w:r>
        <w:t xml:space="preserve">Optimize shipping container utilization and route planning.</w:t>
      </w:r>
    </w:p>
    <w:p>
      <w:pPr>
        <w:numPr>
          <w:ilvl w:val="0"/>
          <w:numId w:val="1008"/>
        </w:numPr>
        <w:pStyle w:val="Compact"/>
      </w:pPr>
      <w:r>
        <w:rPr>
          <w:bCs/>
          <w:b/>
        </w:rPr>
        <w:t xml:space="preserve">Enhance Energy Efficiency in Use:</w:t>
      </w:r>
    </w:p>
    <w:p>
      <w:pPr>
        <w:numPr>
          <w:ilvl w:val="1"/>
          <w:numId w:val="1010"/>
        </w:numPr>
        <w:pStyle w:val="Compact"/>
      </w:pPr>
      <w:r>
        <w:t xml:space="preserve">Explore design changes to reduce the product\'s energy consumption during its lifespan.</w:t>
      </w:r>
    </w:p>
    <w:p>
      <w:pPr>
        <w:numPr>
          <w:ilvl w:val="1"/>
          <w:numId w:val="1010"/>
        </w:numPr>
        <w:pStyle w:val="Compact"/>
      </w:pPr>
      <w:r>
        <w:t xml:space="preserve">Promote energy-efficient usage practices to end-users.</w:t>
      </w:r>
    </w:p>
    <w:p>
      <w:pPr>
        <w:numPr>
          <w:ilvl w:val="0"/>
          <w:numId w:val="1008"/>
        </w:numPr>
        <w:pStyle w:val="Compact"/>
      </w:pPr>
      <w:r>
        <w:rPr>
          <w:bCs/>
          <w:b/>
        </w:rPr>
        <w:t xml:space="preserve">Sustainable Material Sourcing:</w:t>
      </w:r>
    </w:p>
    <w:p>
      <w:pPr>
        <w:numPr>
          <w:ilvl w:val="1"/>
          <w:numId w:val="1011"/>
        </w:numPr>
        <w:pStyle w:val="Compact"/>
      </w:pPr>
      <w:r>
        <w:t xml:space="preserve">Continuously evaluate suppliers for lower-carbon materials and processes.</w:t>
      </w:r>
    </w:p>
    <w:p>
      <w:pPr>
        <w:numPr>
          <w:ilvl w:val="1"/>
          <w:numId w:val="1011"/>
        </w:numPr>
        <w:pStyle w:val="Compact"/>
      </w:pPr>
      <w:r>
        <w:t xml:space="preserve">Increase the use of recycled content in materials, where performance and safety allow.</w:t>
      </w:r>
    </w:p>
    <w:p>
      <w:pPr>
        <w:numPr>
          <w:ilvl w:val="0"/>
          <w:numId w:val="1008"/>
        </w:numPr>
        <w:pStyle w:val="Compact"/>
      </w:pPr>
      <w:r>
        <w:rPr>
          <w:bCs/>
          <w:b/>
        </w:rPr>
        <w:t xml:space="preserve">Strengthen Circular Economy Initiatives:</w:t>
      </w:r>
    </w:p>
    <w:p>
      <w:pPr>
        <w:numPr>
          <w:ilvl w:val="1"/>
          <w:numId w:val="1012"/>
        </w:numPr>
        <w:pStyle w:val="Compact"/>
      </w:pPr>
      <w:r>
        <w:t xml:space="preserve">Further develop and promote the existing "Product buy-back program" to maximize returns and ensure proper recycling.</w:t>
      </w:r>
    </w:p>
    <w:p>
      <w:pPr>
        <w:numPr>
          <w:ilvl w:val="1"/>
          <w:numId w:val="1012"/>
        </w:numPr>
        <w:pStyle w:val="Compact"/>
      </w:pPr>
      <w:r>
        <w:t xml:space="preserve">Explore product-as-a-service models or extended producer responsibility initiatives.</w:t>
      </w:r>
    </w:p>
    <w:p>
      <w:pPr>
        <w:numPr>
          <w:ilvl w:val="0"/>
          <w:numId w:val="1008"/>
        </w:numPr>
        <w:pStyle w:val="Compact"/>
      </w:pPr>
      <w:r>
        <w:rPr>
          <w:bCs/>
          <w:b/>
        </w:rPr>
        <w:t xml:space="preserve">Increase Renewable Energy Adoption:</w:t>
      </w:r>
    </w:p>
    <w:p>
      <w:pPr>
        <w:numPr>
          <w:ilvl w:val="1"/>
          <w:numId w:val="1013"/>
        </w:numPr>
        <w:pStyle w:val="Compact"/>
      </w:pPr>
      <w:r>
        <w:t xml:space="preserve">Work with manufacturing partners in China to increase their renewable energy procurement beyond 75%.</w:t>
      </w:r>
    </w:p>
    <w:p>
      <w:pPr>
        <w:numPr>
          <w:ilvl w:val="1"/>
          <w:numId w:val="1013"/>
        </w:numPr>
        <w:pStyle w:val="Compact"/>
      </w:pPr>
      <w:r>
        <w:t xml:space="preserve">Consider investment in off-site renewable energy projects if direct procurement is limited.</w:t>
      </w:r>
    </w:p>
    <w:p>
      <w:r>
        <w:pict>
          <v:rect style="width:0;height:1.5pt" o:hralign="center" o:hrstd="t" o:hr="t"/>
        </w:pict>
      </w:r>
    </w:p>
    <w:p>
      <w:pPr>
        <w:pStyle w:val="FirstParagraph"/>
      </w:pPr>
      <w:r>
        <w:t xml:space="preserve">Confidential - Internal Use Only | Page</w:t>
      </w:r>
      <w:r>
        <w:t xml:space="preserve"> </w:t>
      </w:r>
      <w:bookmarkStart w:id="37" w:name="page-number"/>
      <w:bookmarkEnd w:id="37"/>
      <w:r>
        <w:t xml:space="preserve"> </w:t>
      </w:r>
      <w:r>
        <w:t xml:space="preserve">of</w:t>
      </w:r>
      <w:r>
        <w:t xml:space="preserve"> </w:t>
      </w:r>
      <w:bookmarkStart w:id="38" w:name="total-pages"/>
      <w:bookmarkEnd w:id="38"/>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okqittnfpq</dc:title>
  <dc:creator/>
  <dc:description>Detailed Product Carbon Footprint (PCF) analysis report for okqittnfpq, performed by zzldjyqdym for nkxyqrkyzt, adhering to GHG Protocol standards and 2026 LSR updates.</dc:description>
  <dc:language>en</dc:language>
  <cp:keywords/>
  <dcterms:created xsi:type="dcterms:W3CDTF">2026-07-15T20:11:47Z</dcterms:created>
  <dcterms:modified xsi:type="dcterms:W3CDTF">2026-07-15T20:11:47Z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