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ojuuwtnjrz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ojuuwtnjrz</w:t>
      </w:r>
    </w:p>
    <w:p>
      <w:pPr>
        <w:pStyle w:val="BodyText"/>
      </w:pPr>
      <w:r>
        <w:rPr>
          <w:bCs/>
          <w:b/>
        </w:rPr>
        <w:t xml:space="preserve">Company Name:</w:t>
      </w:r>
      <w:r>
        <w:t xml:space="preserve"> </w:t>
      </w:r>
      <w:r>
        <w:t xml:space="preserve">spowqgleuf</w:t>
      </w:r>
    </w:p>
    <w:p>
      <w:pPr>
        <w:pStyle w:val="BodyText"/>
      </w:pPr>
      <w:r>
        <w:rPr>
          <w:bCs/>
          <w:b/>
        </w:rPr>
        <w:t xml:space="preserve">Senior Sustainability Consultant:</w:t>
      </w:r>
      <w:r>
        <w:t xml:space="preserve"> </w:t>
      </w:r>
      <w:r>
        <w:t xml:space="preserve">eesuwdvkph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calculations rely on the provided parameters and illustrative emission factors where specific data was not available. This report serves as a detailed assessment for strategic sustainability management.</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ojuuwtnjrz |</w:t>
      </w:r>
      <w:r>
        <w:t xml:space="preserve"> </w:t>
      </w:r>
      <w:r>
        <w:rPr>
          <w:bCs/>
          <w:b/>
        </w:rPr>
        <w:t xml:space="preserve">Company:</w:t>
      </w:r>
      <w:r>
        <w:t xml:space="preserve"> </w:t>
      </w:r>
      <w:r>
        <w:t xml:space="preserve">spowqgleuf</w:t>
      </w:r>
    </w:p>
    <w:p>
      <w:pPr>
        <w:pStyle w:val="BodyText"/>
      </w:pPr>
      <w:r>
        <w:rPr>
          <w:bCs/>
          <w:b/>
        </w:rPr>
        <w:t xml:space="preserve">Generated Date:</w:t>
      </w:r>
      <w:r>
        <w:t xml:space="preserve"> </w:t>
      </w:r>
      <w:r>
        <w:t xml:space="preserve">June 1, 2026</w:t>
      </w:r>
    </w:p>
    <w:bookmarkEnd w:id="21"/>
    <w:bookmarkStart w:id="22" w:name="executive-summary"/>
    <w:p>
      <w:pPr>
        <w:pStyle w:val="Heading2"/>
      </w:pPr>
      <w:r>
        <w:t xml:space="preserve">Executive Summary</w:t>
      </w:r>
    </w:p>
    <w:p>
      <w:pPr>
        <w:pStyle w:val="FirstParagraph"/>
      </w:pPr>
      <w:r>
        <w:t xml:space="preserve">This Product Carbon Footprint (PCF) analysis provides a high-detail assessment for ojuuwtnjrz, manufactured by spowqgleuf. Conducted by Senior Sustainability Consultant eesuwdvkph, this report adheres to the GHG Protocol, including the 2026 Land Sector and Removals (LSR) Standard, with a focus on achieving at least 95% coverage for Scope 3 emissions. The analysis spans the entire product lifecycle from material acquisition to end-of-life, incorporating detailed Bill of Materials (BOM) data, specific logistics, energy consumption, and circularity aspects. The objective is to identify key emission hotspots and provide actionable insights for reducing the product\'s environmental impact.</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phase defines the parameters guiding this Product Carbon Footprint (PCF) study in accordance with the GHG Protocol Product Standard.</w:t>
      </w:r>
    </w:p>
    <w:p>
      <w:pPr>
        <w:numPr>
          <w:ilvl w:val="0"/>
          <w:numId w:val="1001"/>
        </w:numPr>
        <w:pStyle w:val="Compact"/>
      </w:pPr>
      <w:r>
        <w:rPr>
          <w:bCs/>
          <w:b/>
        </w:rPr>
        <w:t xml:space="preserve">Functional Unit:</w:t>
      </w:r>
      <w:r>
        <w:t xml:space="preserve"> </w:t>
      </w:r>
      <w:r>
        <w:t xml:space="preserve">1.0 unit of ojuuwtnjrz. This is the quantified performance of a product system for use as a reference unit.</w:t>
      </w:r>
    </w:p>
    <w:p>
      <w:pPr>
        <w:numPr>
          <w:ilvl w:val="0"/>
          <w:numId w:val="1001"/>
        </w:numPr>
        <w:pStyle w:val="Compact"/>
      </w:pPr>
      <w:r>
        <w:rPr>
          <w:bCs/>
          <w:b/>
        </w:rPr>
        <w:t xml:space="preserve">System Boundary:</w:t>
      </w:r>
      <w:r>
        <w:t xml:space="preserve"> </w:t>
      </w:r>
      <w:r>
        <w:t xml:space="preserve">Cradle-to-grave, specifically "factory_gate" for the initial production assessment, extended to include the use phase and end-of-life treatment. This covers material extraction, manufacturing, transport to customer, product use, and disposal/recycling.</w:t>
      </w:r>
    </w:p>
    <w:p>
      <w:pPr>
        <w:numPr>
          <w:ilvl w:val="0"/>
          <w:numId w:val="1001"/>
        </w:numPr>
        <w:pStyle w:val="Compact"/>
      </w:pPr>
      <w:r>
        <w:rPr>
          <w:bCs/>
          <w:b/>
        </w:rPr>
        <w:t xml:space="preserve">Geographic Scope:</w:t>
      </w:r>
      <w:r>
        <w:t xml:space="preserve"> </w:t>
      </w:r>
      <w:r>
        <w:t xml:space="preserve">Final production occurs in China, with a supply chain focus primarily on Europe. This informs the selection of regional energy grids and transport emission factors.</w:t>
      </w:r>
    </w:p>
    <w:p>
      <w:pPr>
        <w:numPr>
          <w:ilvl w:val="0"/>
          <w:numId w:val="1001"/>
        </w:numPr>
        <w:pStyle w:val="Compact"/>
      </w:pPr>
      <w:r>
        <w:rPr>
          <w:bCs/>
          <w:b/>
        </w:rPr>
        <w:t xml:space="preserve">Accounting Standard:</w:t>
      </w:r>
      <w:r>
        <w:t xml:space="preserve"> </w:t>
      </w:r>
      <w:r>
        <w:t xml:space="preserve">GHG Protocol Product Life Cycle Accounting and Reporting Standard. This report also integrates considerations from the upcoming 2026 Land Sector and Removals (LSR) Standard.</w:t>
      </w:r>
    </w:p>
    <w:p>
      <w:pPr>
        <w:numPr>
          <w:ilvl w:val="0"/>
          <w:numId w:val="1001"/>
        </w:numPr>
        <w:pStyle w:val="Compact"/>
      </w:pPr>
      <w:r>
        <w:rPr>
          <w:bCs/>
          <w:b/>
        </w:rPr>
        <w:t xml:space="preserve">Allocation:</w:t>
      </w:r>
      <w:r>
        <w:t xml:space="preserve"> </w:t>
      </w:r>
      <w:r>
        <w:t xml:space="preserve">Environmental burdens for multi-output processes are allocated based on physical relationships (e.g., mass) where possible. For recycled content, the "cut-off" approach is generally applied, with recycling benefits considered at end-of-life through avoided burden methodology as per GHG Protocol guidance.</w:t>
      </w:r>
    </w:p>
    <w:p>
      <w:r>
        <w:pict>
          <v:rect style="width:0;height:1.5pt" o:hralign="center" o:hrstd="t" o:hr="t"/>
        </w:pict>
      </w:r>
    </w:p>
    <w:bookmarkEnd w:id="23"/>
    <w:bookmarkStart w:id="29" w:name="Xd6b46738c4124629dd3bea9f41c30a54f49af0b"/>
    <w:p>
      <w:pPr>
        <w:pStyle w:val="Heading2"/>
      </w:pPr>
      <w:r>
        <w:t xml:space="preserve">2. Mapping the Lifecycle &amp; 3. Data Collection (LCI Inventory)</w:t>
      </w:r>
    </w:p>
    <w:p>
      <w:pPr>
        <w:pStyle w:val="FirstParagraph"/>
      </w:pPr>
      <w:r>
        <w:t xml:space="preserve">This section details the lifecycle stages considered and the primary and secondary data points collected for ojuuwtnjrz. Given the placeholder nature of some input parameters, illustrative data and industry averages are used where specific values were not provided, and this is clearly noted.</w:t>
      </w:r>
    </w:p>
    <w:bookmarkStart w:id="24" w:name="detailed-bill-of-materials-bom-tewgthxo"/>
    <w:p>
      <w:pPr>
        <w:pStyle w:val="Heading3"/>
      </w:pPr>
      <w:r>
        <w:t xml:space="preserve">Detailed Bill of Materials (BOM): tewgthxo</w:t>
      </w:r>
    </w:p>
    <w:p>
      <w:pPr>
        <w:pStyle w:val="FirstParagraph"/>
      </w:pPr>
      <w:r>
        <w:t xml:space="preserve">The following table presents the detailed Bill of Materials, incorporating the provided \'Total Carbon\' for each item. These values are directly used in the material impact calculation, forming a significant portion of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 Etching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bl>
    <w:p>
      <w:pPr>
        <w:pStyle w:val="BodyText"/>
      </w:pPr>
      <w:r>
        <w:rPr>
          <w:iCs/>
          <w:i/>
        </w:rPr>
        <w:t xml:space="preserve">Note: The "Total Carbon" values for BOM items are taken directly from the provided input parameter \'tewgthxo\' for high-accuracy material impact calculation.</w:t>
      </w:r>
    </w:p>
    <w:bookmarkEnd w:id="24"/>
    <w:bookmarkStart w:id="25" w:name="production-energy-input-china"/>
    <w:p>
      <w:pPr>
        <w:pStyle w:val="Heading3"/>
      </w:pPr>
      <w:r>
        <w:t xml:space="preserve">Production Energy Input (China)</w:t>
      </w:r>
    </w:p>
    <w:p>
      <w:pPr>
        <w:numPr>
          <w:ilvl w:val="0"/>
          <w:numId w:val="1002"/>
        </w:numPr>
        <w:pStyle w:val="Compact"/>
      </w:pPr>
      <w:r>
        <w:rPr>
          <w:bCs/>
          <w:b/>
        </w:rPr>
        <w:t xml:space="preserve">Energy Intensity (qspqfyolyw):</w:t>
      </w:r>
      <w:r>
        <w:t xml:space="preserve"> </w:t>
      </w:r>
      <w:r>
        <w:t xml:space="preserve">7 kWh/unit of ojuuwtnjrz.</w:t>
      </w:r>
    </w:p>
    <w:p>
      <w:pPr>
        <w:numPr>
          <w:ilvl w:val="0"/>
          <w:numId w:val="1002"/>
        </w:numPr>
        <w:pStyle w:val="Compact"/>
      </w:pPr>
      <w:r>
        <w:rPr>
          <w:bCs/>
          <w:b/>
        </w:rPr>
        <w:t xml:space="preserve">Renewable Energy Usage (zphtvxopqz):</w:t>
      </w:r>
      <w:r>
        <w:t xml:space="preserve"> </w:t>
      </w:r>
      <w:r>
        <w:t xml:space="preserve">60% of total energy in the production facility is sourced from renewable energy.</w:t>
      </w:r>
    </w:p>
    <w:p>
      <w:pPr>
        <w:numPr>
          <w:ilvl w:val="0"/>
          <w:numId w:val="1002"/>
        </w:numPr>
        <w:pStyle w:val="Compact"/>
      </w:pPr>
      <w:r>
        <w:rPr>
          <w:bCs/>
          <w:b/>
        </w:rPr>
        <w:t xml:space="preserve">Non-Renewable Energy:</w:t>
      </w:r>
      <w:r>
        <w:t xml:space="preserve"> </w:t>
      </w:r>
      <w:r>
        <w:t xml:space="preserve">(1 - 0.60) = 40% of 7 kWh/unit = 2.8 kWh/unit.</w:t>
      </w:r>
    </w:p>
    <w:p>
      <w:pPr>
        <w:numPr>
          <w:ilvl w:val="0"/>
          <w:numId w:val="1002"/>
        </w:numPr>
        <w:pStyle w:val="Compact"/>
      </w:pPr>
      <w:r>
        <w:rPr>
          <w:bCs/>
          <w:b/>
        </w:rPr>
        <w:t xml:space="preserve">Illustrative Emission Factor (China Grid Mix):</w:t>
      </w:r>
      <w:r>
        <w:t xml:space="preserve"> </w:t>
      </w:r>
      <w:r>
        <w:t xml:space="preserve">~0.6 kgCO2e/kWh (based on typical Ecoinvent/DEFRA factors for China\'s electricity grid, illustrative for this report).</w:t>
      </w:r>
    </w:p>
    <w:bookmarkEnd w:id="25"/>
    <w:bookmarkStart w:id="26" w:name="logistics-data-supply-chain-distribution"/>
    <w:p>
      <w:pPr>
        <w:pStyle w:val="Heading3"/>
      </w:pPr>
      <w:r>
        <w:t xml:space="preserve">Logistics Data (Supply Chain &amp; Distribution)</w:t>
      </w:r>
    </w:p>
    <w:p>
      <w:pPr>
        <w:numPr>
          <w:ilvl w:val="0"/>
          <w:numId w:val="1003"/>
        </w:numPr>
        <w:pStyle w:val="Compact"/>
      </w:pPr>
      <w:r>
        <w:rPr>
          <w:bCs/>
          <w:b/>
        </w:rPr>
        <w:t xml:space="preserve">Primary Transport Mode (Select Mode):</w:t>
      </w:r>
      <w:r>
        <w:t xml:space="preserve"> </w:t>
      </w:r>
      <w:r>
        <w:t xml:space="preserve">Road freight.</w:t>
      </w:r>
    </w:p>
    <w:p>
      <w:pPr>
        <w:numPr>
          <w:ilvl w:val="0"/>
          <w:numId w:val="1003"/>
        </w:numPr>
        <w:pStyle w:val="Compact"/>
      </w:pPr>
      <w:r>
        <w:rPr>
          <w:bCs/>
          <w:b/>
        </w:rPr>
        <w:t xml:space="preserve">Transport Distance (fnvdjdsoxd):</w:t>
      </w:r>
      <w:r>
        <w:t xml:space="preserve"> </w:t>
      </w:r>
      <w:r>
        <w:t xml:space="preserve">1500 km (average distance for European focused supply chain).</w:t>
      </w:r>
    </w:p>
    <w:p>
      <w:pPr>
        <w:numPr>
          <w:ilvl w:val="0"/>
          <w:numId w:val="1003"/>
        </w:numPr>
        <w:pStyle w:val="Compact"/>
      </w:pPr>
      <w:r>
        <w:rPr>
          <w:bCs/>
          <w:b/>
        </w:rPr>
        <w:t xml:space="preserve">Illustrative Emission Factor (Road Freight):</w:t>
      </w:r>
      <w:r>
        <w:t xml:space="preserve"> </w:t>
      </w:r>
      <w:r>
        <w:t xml:space="preserve">~0.08 kgCO2e/tkm (Heavy Duty, Euro VI, illustrative for this report). Assumed product weight: 1 kg per unit of ojuuwtnjrz for transport calculations.</w:t>
      </w:r>
    </w:p>
    <w:p>
      <w:pPr>
        <w:numPr>
          <w:ilvl w:val="0"/>
          <w:numId w:val="1003"/>
        </w:numPr>
        <w:pStyle w:val="Compact"/>
      </w:pPr>
      <w:r>
        <w:rPr>
          <w:bCs/>
          <w:b/>
        </w:rPr>
        <w:t xml:space="preserve">Last-Mile Delivery Channel (Delivery Type):</w:t>
      </w:r>
      <w:r>
        <w:t xml:space="preserve"> </w:t>
      </w:r>
      <w:r>
        <w:t xml:space="preserve">Parcel post.</w:t>
      </w:r>
    </w:p>
    <w:p>
      <w:pPr>
        <w:numPr>
          <w:ilvl w:val="0"/>
          <w:numId w:val="1003"/>
        </w:numPr>
        <w:pStyle w:val="Compact"/>
      </w:pPr>
      <w:r>
        <w:rPr>
          <w:bCs/>
          <w:b/>
        </w:rPr>
        <w:t xml:space="preserve">Illustrative Emission Factor (Parcel Post):</w:t>
      </w:r>
      <w:r>
        <w:t xml:space="preserve"> </w:t>
      </w:r>
      <w:r>
        <w:t xml:space="preserve">~0.05 kgCO2e/package (simplified average per delivery, illustrative for this report).</w:t>
      </w:r>
    </w:p>
    <w:bookmarkEnd w:id="26"/>
    <w:bookmarkStart w:id="27" w:name="product-use-phase-data"/>
    <w:p>
      <w:pPr>
        <w:pStyle w:val="Heading3"/>
      </w:pPr>
      <w:r>
        <w:t xml:space="preserve">Product Use Phase Data</w:t>
      </w:r>
    </w:p>
    <w:p>
      <w:pPr>
        <w:numPr>
          <w:ilvl w:val="0"/>
          <w:numId w:val="1004"/>
        </w:numPr>
        <w:pStyle w:val="Compact"/>
      </w:pPr>
      <w:r>
        <w:rPr>
          <w:bCs/>
          <w:b/>
        </w:rPr>
        <w:t xml:space="preserve">Product Lifespan (sxuslkydtv):</w:t>
      </w:r>
      <w:r>
        <w:t xml:space="preserve"> </w:t>
      </w:r>
      <w:r>
        <w:t xml:space="preserve">3 years.</w:t>
      </w:r>
    </w:p>
    <w:p>
      <w:pPr>
        <w:numPr>
          <w:ilvl w:val="0"/>
          <w:numId w:val="1004"/>
        </w:numPr>
        <w:pStyle w:val="Compact"/>
      </w:pPr>
      <w:r>
        <w:rPr>
          <w:bCs/>
          <w:b/>
        </w:rPr>
        <w:t xml:space="preserve">Energy Consumption in Use (nimepzggwh):</w:t>
      </w:r>
      <w:r>
        <w:t xml:space="preserve"> </w:t>
      </w:r>
      <w:r>
        <w:t xml:space="preserve">15 kWh/year.</w:t>
      </w:r>
    </w:p>
    <w:p>
      <w:pPr>
        <w:numPr>
          <w:ilvl w:val="0"/>
          <w:numId w:val="1004"/>
        </w:numPr>
        <w:pStyle w:val="Compact"/>
      </w:pPr>
      <w:r>
        <w:rPr>
          <w:bCs/>
          <w:b/>
        </w:rPr>
        <w:t xml:space="preserve">Illustrative Emission Factor (Europe Grid Mix - average):</w:t>
      </w:r>
      <w:r>
        <w:t xml:space="preserve"> </w:t>
      </w:r>
      <w:r>
        <w:t xml:space="preserve">~0.3 kgCO2e/kWh (based on typical Ecoinvent/DEFRA factors for European electricity grid, illustrative for this report).</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 (nhkduepnem):</w:t>
      </w:r>
      <w:r>
        <w:t xml:space="preserve"> </w:t>
      </w:r>
      <w:r>
        <w:t xml:space="preserve">80% of the product\'s mass is recyclable.</w:t>
      </w:r>
    </w:p>
    <w:p>
      <w:pPr>
        <w:numPr>
          <w:ilvl w:val="0"/>
          <w:numId w:val="1005"/>
        </w:numPr>
        <w:pStyle w:val="Compact"/>
      </w:pPr>
      <w:r>
        <w:rPr>
          <w:bCs/>
          <w:b/>
        </w:rPr>
        <w:t xml:space="preserve">Circular/Take-back Programs (otusltdmgh):</w:t>
      </w:r>
      <w:r>
        <w:t xml:space="preserve"> </w:t>
      </w:r>
      <w:r>
        <w:t xml:space="preserve">spowqgleuf operates a comprehensive take-back program with refurbishment and recycling initiatives. This program aims to maximize material recovery and minimize waste.</w:t>
      </w:r>
    </w:p>
    <w:p>
      <w:pPr>
        <w:numPr>
          <w:ilvl w:val="0"/>
          <w:numId w:val="1005"/>
        </w:numPr>
        <w:pStyle w:val="Compact"/>
      </w:pPr>
      <w:r>
        <w:rPr>
          <w:bCs/>
          <w:b/>
        </w:rPr>
        <w:t xml:space="preserve">Illustrative EoL Emission Factor (Landfill):</w:t>
      </w:r>
      <w:r>
        <w:t xml:space="preserve"> </w:t>
      </w:r>
      <w:r>
        <w:t xml:space="preserve">~0.05 kgCO2e/kg (for non-recycled waste, simplified).</w:t>
      </w:r>
    </w:p>
    <w:p>
      <w:pPr>
        <w:numPr>
          <w:ilvl w:val="0"/>
          <w:numId w:val="1005"/>
        </w:numPr>
        <w:pStyle w:val="Compact"/>
      </w:pPr>
      <w:r>
        <w:rPr>
          <w:bCs/>
          <w:b/>
        </w:rPr>
        <w:t xml:space="preserve">Illustrative Recycling Credit (Avoided Emissions):</w:t>
      </w:r>
      <w:r>
        <w:t xml:space="preserve"> </w:t>
      </w:r>
      <w:r>
        <w:t xml:space="preserve">~ -1.5 kgCO2e/kg (for recycled materials, assuming plastics/metals, simplified).</w:t>
      </w:r>
    </w:p>
    <w:p>
      <w:pPr>
        <w:pStyle w:val="FirstParagraph"/>
      </w:pPr>
      <w:r>
        <w:rPr>
          <w:iCs/>
          <w:i/>
        </w:rPr>
        <w:t xml:space="preserve">Note: All illustrative emission factors are generic industry averages provided for calculation purposes within this report. For a full, definitive analysis, specific Ecoinvent or DEFRA data would be acquired and applied.</w:t>
      </w:r>
    </w:p>
    <w:p>
      <w:r>
        <w:pict>
          <v:rect style="width:0;height:1.5pt" o:hralign="center" o:hrstd="t" o:hr="t"/>
        </w:pict>
      </w:r>
    </w:p>
    <w:bookmarkEnd w:id="28"/>
    <w:bookmarkEnd w:id="29"/>
    <w:bookmarkStart w:id="39" w:name="X439a6e6dcb43c636bf515ffaf3f59bce0bd6490"/>
    <w:p>
      <w:pPr>
        <w:pStyle w:val="Heading2"/>
      </w:pPr>
      <w:r>
        <w:t xml:space="preserve">4. Emission Calculation (Activity * Emission Factor = CO2e)</w:t>
      </w:r>
    </w:p>
    <w:p>
      <w:pPr>
        <w:pStyle w:val="FirstParagraph"/>
      </w:pPr>
      <w:r>
        <w:t xml:space="preserve">This section details the calculation of the Product Carbon Footprint for ojuuwtnjrz, categorized according to the GHG Protocol\'s Scope 1, 2, and 3 emissions. The calculations incorporate the Land Sector and Removals (LSR) Standard where applicable and ensure a robust Scope 3 coverage.</w:t>
      </w:r>
    </w:p>
    <w:bookmarkStart w:id="30" w:name="total-product-weight-estimated"/>
    <w:p>
      <w:pPr>
        <w:pStyle w:val="Heading3"/>
      </w:pPr>
      <w:r>
        <w:t xml:space="preserve">Total Product Weight (Estimated)</w:t>
      </w:r>
    </w:p>
    <w:p>
      <w:pPr>
        <w:pStyle w:val="FirstParagraph"/>
      </w:pPr>
      <w:r>
        <w:t xml:space="preserve">Based on BOM: 0.5 kg (Plastic) + 0.2 kg (PCB, assumed mass) + 0.1 kg (Battery, assumed mass) + 0.05 kg (Copper) = 0.85 kg. Let\'s round to 1 kg for simplified transport/EoL calculations where \'per kg\' factors are used, to represent the functional unit as a whole.</w:t>
      </w:r>
    </w:p>
    <w:bookmarkEnd w:id="30"/>
    <w:bookmarkStart w:id="31" w:name="scope-1-emissions-direct-emissions"/>
    <w:p>
      <w:pPr>
        <w:pStyle w:val="Heading3"/>
      </w:pPr>
      <w:r>
        <w:t xml:space="preserve">Scope 1 Emissions: Direct Emissions</w:t>
      </w:r>
    </w:p>
    <w:p>
      <w:pPr>
        <w:pStyle w:val="FirstParagraph"/>
      </w:pPr>
      <w:r>
        <w:t xml:space="preserve">For a product carbon footprint from a "factory_gate" system boundary, Scope 1 emissions primarily pertain to direct emissions from facilities owned or controlled by spowqgleuf (e.g., on-site fuel combustion). As no direct fuel consumption data for manufacturing ojuuwtnjrz was provided, these emissions are assumed to be negligible or covered under manufacturing process for the product boundary.</w:t>
      </w:r>
    </w:p>
    <w:p>
      <w:pPr>
        <w:numPr>
          <w:ilvl w:val="0"/>
          <w:numId w:val="1006"/>
        </w:numPr>
        <w:pStyle w:val="Compact"/>
      </w:pPr>
      <w:r>
        <w:rPr>
          <w:bCs/>
          <w:b/>
        </w:rPr>
        <w:t xml:space="preserve">Total Scope 1 Emissions:</w:t>
      </w:r>
      <w:r>
        <w:t xml:space="preserve"> </w:t>
      </w:r>
      <w:r>
        <w:t xml:space="preserve">0.00 kgCO2e</w:t>
      </w:r>
    </w:p>
    <w:bookmarkEnd w:id="31"/>
    <w:bookmarkStart w:id="32" w:name="scope-2-emissions-purchased-energy"/>
    <w:p>
      <w:pPr>
        <w:pStyle w:val="Heading3"/>
      </w:pPr>
      <w:r>
        <w:t xml:space="preserve">Scope 2 Emissions: Purchased Energy</w:t>
      </w:r>
    </w:p>
    <w:p>
      <w:pPr>
        <w:pStyle w:val="FirstParagraph"/>
      </w:pPr>
      <w:r>
        <w:t xml:space="preserve">These emissions arise from the generation of purchased electricity consumed during the manufacturing process in China.</w:t>
      </w:r>
    </w:p>
    <w:p>
      <w:pPr>
        <w:numPr>
          <w:ilvl w:val="0"/>
          <w:numId w:val="1007"/>
        </w:numPr>
        <w:pStyle w:val="Compact"/>
      </w:pPr>
      <w:r>
        <w:t xml:space="preserve">Energy Intensity: 7 kWh/unit</w:t>
      </w:r>
    </w:p>
    <w:p>
      <w:pPr>
        <w:numPr>
          <w:ilvl w:val="0"/>
          <w:numId w:val="1007"/>
        </w:numPr>
        <w:pStyle w:val="Compact"/>
      </w:pPr>
      <w:r>
        <w:t xml:space="preserve">Non-renewable energy usage: 40% (1 - 60% renewable usage)</w:t>
      </w:r>
    </w:p>
    <w:p>
      <w:pPr>
        <w:numPr>
          <w:ilvl w:val="0"/>
          <w:numId w:val="1007"/>
        </w:numPr>
        <w:pStyle w:val="Compact"/>
      </w:pPr>
      <w:r>
        <w:t xml:space="preserve">Non-renewable electricity consumed: 7 kWh/unit * 0.40 = 2.8 kWh/unit</w:t>
      </w:r>
    </w:p>
    <w:p>
      <w:pPr>
        <w:numPr>
          <w:ilvl w:val="0"/>
          <w:numId w:val="1007"/>
        </w:numPr>
        <w:pStyle w:val="Compact"/>
      </w:pPr>
      <w:r>
        <w:t xml:space="preserve">China Grid Electricity EF: 0.6 kgCO2e/kWh</w:t>
      </w:r>
    </w:p>
    <w:p>
      <w:pPr>
        <w:numPr>
          <w:ilvl w:val="0"/>
          <w:numId w:val="1007"/>
        </w:numPr>
        <w:pStyle w:val="Compact"/>
      </w:pPr>
      <w:r>
        <w:rPr>
          <w:bCs/>
          <w:b/>
        </w:rPr>
        <w:t xml:space="preserve">Calculation:</w:t>
      </w:r>
      <w:r>
        <w:t xml:space="preserve"> </w:t>
      </w:r>
      <w:r>
        <w:t xml:space="preserve">2.8 kWh/unit * 0.6 kgCO2e/kWh = 1.68 kgCO2e/unit</w:t>
      </w:r>
    </w:p>
    <w:p>
      <w:pPr>
        <w:numPr>
          <w:ilvl w:val="0"/>
          <w:numId w:val="1007"/>
        </w:numPr>
        <w:pStyle w:val="Compact"/>
      </w:pPr>
      <w:r>
        <w:rPr>
          <w:bCs/>
          <w:b/>
        </w:rPr>
        <w:t xml:space="preserve">Total Scope 2 Emissions:</w:t>
      </w:r>
      <w:r>
        <w:t xml:space="preserve"> </w:t>
      </w:r>
      <w:r>
        <w:t xml:space="preserve">1.68 kgCO2e/unit</w:t>
      </w:r>
    </w:p>
    <w:bookmarkEnd w:id="32"/>
    <w:bookmarkStart w:id="35" w:name="scope-3-emissions-value-chain-emissions"/>
    <w:p>
      <w:pPr>
        <w:pStyle w:val="Heading3"/>
      </w:pPr>
      <w:r>
        <w:t xml:space="preserve">Scope 3 Emissions: Value Chain Emissions</w:t>
      </w:r>
    </w:p>
    <w:p>
      <w:pPr>
        <w:pStyle w:val="FirstParagraph"/>
      </w:pPr>
      <w:r>
        <w:t xml:space="preserve">Scope 3 emissions encompass all other indirect emissions from the value chain. This report ensures at least 95% coverage as per 2026 requirements, utilizing the provided detailed parameters.</w:t>
      </w:r>
    </w:p>
    <w:bookmarkStart w:id="33" w:name="category-1-upstream-emissions"/>
    <w:p>
      <w:pPr>
        <w:pStyle w:val="Heading4"/>
      </w:pPr>
      <w:r>
        <w:t xml:space="preserve">Category 1: Upstream Emissions</w:t>
      </w:r>
    </w:p>
    <w:p>
      <w:pPr>
        <w:numPr>
          <w:ilvl w:val="0"/>
          <w:numId w:val="1008"/>
        </w:numPr>
        <w:pStyle w:val="Compact"/>
      </w:pPr>
      <w:r>
        <w:rPr>
          <w:bCs/>
          <w:b/>
        </w:rPr>
        <w:t xml:space="preserve">Materials (Raw Material Acquisition &amp; Production):</w:t>
      </w:r>
    </w:p>
    <w:p>
      <w:pPr>
        <w:numPr>
          <w:ilvl w:val="1"/>
          <w:numId w:val="1009"/>
        </w:numPr>
        <w:pStyle w:val="Compact"/>
      </w:pPr>
      <w:r>
        <w:t xml:space="preserve">Sum of "Total Carbon" from BOM: 1.25 (Plastic) + 2.00 (PCB) + 2.50 (Battery) + 0.15 (Copper) = 5.90 kgCO2e/unit</w:t>
      </w:r>
    </w:p>
    <w:p>
      <w:pPr>
        <w:numPr>
          <w:ilvl w:val="1"/>
          <w:numId w:val="1009"/>
        </w:numPr>
        <w:pStyle w:val="Compact"/>
      </w:pPr>
      <w:r>
        <w:rPr>
          <w:bCs/>
          <w:b/>
        </w:rPr>
        <w:t xml:space="preserve">Total Materials Emissions:</w:t>
      </w:r>
      <w:r>
        <w:t xml:space="preserve"> </w:t>
      </w:r>
      <w:r>
        <w:t xml:space="preserve">5.90 kgCO2e/unit</w:t>
      </w:r>
    </w:p>
    <w:p>
      <w:pPr>
        <w:numPr>
          <w:ilvl w:val="0"/>
          <w:numId w:val="1008"/>
        </w:numPr>
        <w:pStyle w:val="Compact"/>
      </w:pPr>
      <w:r>
        <w:rPr>
          <w:bCs/>
          <w:b/>
        </w:rPr>
        <w:t xml:space="preserve">Transport (Upstream &amp; Distribution):</w:t>
      </w:r>
    </w:p>
    <w:p>
      <w:pPr>
        <w:numPr>
          <w:ilvl w:val="1"/>
          <w:numId w:val="1010"/>
        </w:numPr>
        <w:pStyle w:val="Compact"/>
      </w:pPr>
      <w:r>
        <w:rPr>
          <w:bCs/>
          <w:b/>
        </w:rPr>
        <w:t xml:space="preserve">Primary Transport (Road Freight):</w:t>
      </w:r>
    </w:p>
    <w:p>
      <w:pPr>
        <w:numPr>
          <w:ilvl w:val="2"/>
          <w:numId w:val="1011"/>
        </w:numPr>
        <w:pStyle w:val="Compact"/>
      </w:pPr>
      <w:r>
        <w:t xml:space="preserve">Distance: 1500 km</w:t>
      </w:r>
    </w:p>
    <w:p>
      <w:pPr>
        <w:numPr>
          <w:ilvl w:val="2"/>
          <w:numId w:val="1011"/>
        </w:numPr>
        <w:pStyle w:val="Compact"/>
      </w:pPr>
      <w:r>
        <w:t xml:space="preserve">Assumed product weight: 1 kg</w:t>
      </w:r>
    </w:p>
    <w:p>
      <w:pPr>
        <w:numPr>
          <w:ilvl w:val="2"/>
          <w:numId w:val="1011"/>
        </w:numPr>
        <w:pStyle w:val="Compact"/>
      </w:pPr>
      <w:r>
        <w:t xml:space="preserve">EF Road Freight: 0.08 kgCO2e/tkm (or 0.00008 kgCO2e/kg.km)</w:t>
      </w:r>
    </w:p>
    <w:p>
      <w:pPr>
        <w:numPr>
          <w:ilvl w:val="2"/>
          <w:numId w:val="1011"/>
        </w:numPr>
        <w:pStyle w:val="Compact"/>
      </w:pPr>
      <w:r>
        <w:rPr>
          <w:bCs/>
          <w:b/>
        </w:rPr>
        <w:t xml:space="preserve">Calculation:</w:t>
      </w:r>
      <w:r>
        <w:t xml:space="preserve"> </w:t>
      </w:r>
      <w:r>
        <w:t xml:space="preserve">1 kg * 1500 km * 0.00008 kgCO2e/kg.km = 0.12 kgCO2e/unit</w:t>
      </w:r>
    </w:p>
    <w:p>
      <w:pPr>
        <w:numPr>
          <w:ilvl w:val="1"/>
          <w:numId w:val="1010"/>
        </w:numPr>
        <w:pStyle w:val="Compact"/>
      </w:pPr>
      <w:r>
        <w:rPr>
          <w:bCs/>
          <w:b/>
        </w:rPr>
        <w:t xml:space="preserve">Last-Mile Delivery (Parcel Post):</w:t>
      </w:r>
    </w:p>
    <w:p>
      <w:pPr>
        <w:numPr>
          <w:ilvl w:val="2"/>
          <w:numId w:val="1012"/>
        </w:numPr>
        <w:pStyle w:val="Compact"/>
      </w:pPr>
      <w:r>
        <w:t xml:space="preserve">EF Parcel Post: 0.05 kgCO2e/package</w:t>
      </w:r>
    </w:p>
    <w:p>
      <w:pPr>
        <w:numPr>
          <w:ilvl w:val="2"/>
          <w:numId w:val="1012"/>
        </w:numPr>
        <w:pStyle w:val="Compact"/>
      </w:pPr>
      <w:r>
        <w:rPr>
          <w:bCs/>
          <w:b/>
        </w:rPr>
        <w:t xml:space="preserve">Calculation:</w:t>
      </w:r>
      <w:r>
        <w:t xml:space="preserve"> </w:t>
      </w:r>
      <w:r>
        <w:t xml:space="preserve">0.05 kgCO2e/unit</w:t>
      </w:r>
    </w:p>
    <w:p>
      <w:pPr>
        <w:numPr>
          <w:ilvl w:val="1"/>
          <w:numId w:val="1010"/>
        </w:numPr>
        <w:pStyle w:val="Compact"/>
      </w:pPr>
      <w:r>
        <w:rPr>
          <w:bCs/>
          <w:b/>
        </w:rPr>
        <w:t xml:space="preserve">Total Transport Emissions:</w:t>
      </w:r>
      <w:r>
        <w:t xml:space="preserve"> </w:t>
      </w:r>
      <w:r>
        <w:t xml:space="preserve">0.12 + 0.05 = 0.17 kgCO2e/unit</w:t>
      </w:r>
    </w:p>
    <w:p>
      <w:pPr>
        <w:numPr>
          <w:ilvl w:val="0"/>
          <w:numId w:val="1008"/>
        </w:numPr>
        <w:pStyle w:val="Compact"/>
      </w:pPr>
      <w:r>
        <w:rPr>
          <w:bCs/>
          <w:b/>
        </w:rPr>
        <w:t xml:space="preserve">Other Upstream Processes:</w:t>
      </w:r>
      <w:r>
        <w:t xml:space="preserve"> </w:t>
      </w:r>
      <w:r>
        <w:t xml:space="preserve">(e.g., packaging not in BOM, business travel, etc.) - Assumed negligible for this product-specific boundary, or included within BOM \'Total Carbon\' values.</w:t>
      </w:r>
    </w:p>
    <w:p>
      <w:pPr>
        <w:pStyle w:val="FirstParagraph"/>
      </w:pPr>
      <w:r>
        <w:rPr>
          <w:bCs/>
          <w:b/>
        </w:rPr>
        <w:t xml:space="preserve">Total Scope 3 Upstream Emissions:</w:t>
      </w:r>
      <w:r>
        <w:t xml:space="preserve"> </w:t>
      </w:r>
      <w:r>
        <w:t xml:space="preserve">5.90 + 0.17 = 6.07 kgCO2e/unit</w:t>
      </w:r>
    </w:p>
    <w:bookmarkEnd w:id="33"/>
    <w:bookmarkStart w:id="34" w:name="category-2-downstream-emissions"/>
    <w:p>
      <w:pPr>
        <w:pStyle w:val="Heading4"/>
      </w:pPr>
      <w:r>
        <w:t xml:space="preserve">Category 2: Downstream Emissions</w:t>
      </w:r>
    </w:p>
    <w:p>
      <w:pPr>
        <w:numPr>
          <w:ilvl w:val="0"/>
          <w:numId w:val="1013"/>
        </w:numPr>
        <w:pStyle w:val="Compact"/>
      </w:pPr>
      <w:r>
        <w:rPr>
          <w:bCs/>
          <w:b/>
        </w:rPr>
        <w:t xml:space="preserve">Use Phase Emissions:</w:t>
      </w:r>
    </w:p>
    <w:p>
      <w:pPr>
        <w:numPr>
          <w:ilvl w:val="1"/>
          <w:numId w:val="1014"/>
        </w:numPr>
        <w:pStyle w:val="Compact"/>
      </w:pPr>
      <w:r>
        <w:t xml:space="preserve">Product Lifespan: 3 years</w:t>
      </w:r>
    </w:p>
    <w:p>
      <w:pPr>
        <w:numPr>
          <w:ilvl w:val="1"/>
          <w:numId w:val="1014"/>
        </w:numPr>
        <w:pStyle w:val="Compact"/>
      </w:pPr>
      <w:r>
        <w:t xml:space="preserve">Energy Consumption in Use: 15 kWh/year</w:t>
      </w:r>
    </w:p>
    <w:p>
      <w:pPr>
        <w:numPr>
          <w:ilvl w:val="1"/>
          <w:numId w:val="1014"/>
        </w:numPr>
        <w:pStyle w:val="Compact"/>
      </w:pPr>
      <w:r>
        <w:t xml:space="preserve">Total energy consumption over lifespan: 15 kWh/year * 3 years = 45 kWh/unit</w:t>
      </w:r>
    </w:p>
    <w:p>
      <w:pPr>
        <w:numPr>
          <w:ilvl w:val="1"/>
          <w:numId w:val="1014"/>
        </w:numPr>
        <w:pStyle w:val="Compact"/>
      </w:pPr>
      <w:r>
        <w:t xml:space="preserve">Europe Grid Electricity EF: 0.3 kgCO2e/kWh</w:t>
      </w:r>
    </w:p>
    <w:p>
      <w:pPr>
        <w:numPr>
          <w:ilvl w:val="1"/>
          <w:numId w:val="1014"/>
        </w:numPr>
        <w:pStyle w:val="Compact"/>
      </w:pPr>
      <w:r>
        <w:rPr>
          <w:bCs/>
          <w:b/>
        </w:rPr>
        <w:t xml:space="preserve">Calculation:</w:t>
      </w:r>
      <w:r>
        <w:t xml:space="preserve"> </w:t>
      </w:r>
      <w:r>
        <w:t xml:space="preserve">45 kWh/unit * 0.3 kgCO2e/kWh = 13.50 kgCO2e/unit</w:t>
      </w:r>
    </w:p>
    <w:p>
      <w:pPr>
        <w:numPr>
          <w:ilvl w:val="1"/>
          <w:numId w:val="1014"/>
        </w:numPr>
        <w:pStyle w:val="Compact"/>
      </w:pPr>
      <w:r>
        <w:rPr>
          <w:bCs/>
          <w:b/>
        </w:rPr>
        <w:t xml:space="preserve">Total Use Phase Emissions:</w:t>
      </w:r>
      <w:r>
        <w:t xml:space="preserve"> </w:t>
      </w:r>
      <w:r>
        <w:t xml:space="preserve">13.50 kgCO2e/unit</w:t>
      </w:r>
    </w:p>
    <w:p>
      <w:pPr>
        <w:numPr>
          <w:ilvl w:val="0"/>
          <w:numId w:val="1013"/>
        </w:numPr>
        <w:pStyle w:val="Compact"/>
      </w:pPr>
      <w:r>
        <w:rPr>
          <w:bCs/>
          <w:b/>
        </w:rPr>
        <w:t xml:space="preserve">End-of-Life (EoL) Treatment:</w:t>
      </w:r>
    </w:p>
    <w:p>
      <w:pPr>
        <w:numPr>
          <w:ilvl w:val="1"/>
          <w:numId w:val="1015"/>
        </w:numPr>
        <w:pStyle w:val="Compact"/>
      </w:pPr>
      <w:r>
        <w:t xml:space="preserve">Assumed product mass for EoL: 1 kg</w:t>
      </w:r>
    </w:p>
    <w:p>
      <w:pPr>
        <w:numPr>
          <w:ilvl w:val="1"/>
          <w:numId w:val="1015"/>
        </w:numPr>
        <w:pStyle w:val="Compact"/>
      </w:pPr>
      <w:r>
        <w:t xml:space="preserve">Recyclability Percentage: 80%</w:t>
      </w:r>
    </w:p>
    <w:p>
      <w:pPr>
        <w:numPr>
          <w:ilvl w:val="1"/>
          <w:numId w:val="1015"/>
        </w:numPr>
        <w:pStyle w:val="Compact"/>
      </w:pPr>
      <w:r>
        <w:t xml:space="preserve">Non-recycled waste: 20% (0.2 kg)</w:t>
      </w:r>
    </w:p>
    <w:p>
      <w:pPr>
        <w:numPr>
          <w:ilvl w:val="1"/>
          <w:numId w:val="1015"/>
        </w:numPr>
        <w:pStyle w:val="Compact"/>
      </w:pPr>
      <w:r>
        <w:t xml:space="preserve">Recycled material: 80% (0.8 kg)</w:t>
      </w:r>
    </w:p>
    <w:p>
      <w:pPr>
        <w:numPr>
          <w:ilvl w:val="1"/>
          <w:numId w:val="1015"/>
        </w:numPr>
        <w:pStyle w:val="Compact"/>
      </w:pPr>
      <w:r>
        <w:rPr>
          <w:bCs/>
          <w:b/>
        </w:rPr>
        <w:t xml:space="preserve">Emissions from non-recycled waste (Landfill):</w:t>
      </w:r>
      <w:r>
        <w:t xml:space="preserve"> </w:t>
      </w:r>
      <w:r>
        <w:t xml:space="preserve">0.2 kg * 0.05 kgCO2e/kg = 0.01 kgCO2e/unit</w:t>
      </w:r>
    </w:p>
    <w:p>
      <w:pPr>
        <w:numPr>
          <w:ilvl w:val="1"/>
          <w:numId w:val="1015"/>
        </w:numPr>
        <w:pStyle w:val="Compact"/>
      </w:pPr>
      <w:r>
        <w:rPr>
          <w:bCs/>
          <w:b/>
        </w:rPr>
        <w:t xml:space="preserve">Avoided Emissions from Recycling (Credit):</w:t>
      </w:r>
      <w:r>
        <w:t xml:space="preserve"> </w:t>
      </w:r>
      <w:r>
        <w:t xml:space="preserve">0.8 kg * (-1.5 kgCO2e/kg) = -1.20 kgCO2e/unit</w:t>
      </w:r>
    </w:p>
    <w:p>
      <w:pPr>
        <w:numPr>
          <w:ilvl w:val="1"/>
          <w:numId w:val="1015"/>
        </w:numPr>
        <w:pStyle w:val="Compact"/>
      </w:pPr>
      <w:r>
        <w:rPr>
          <w:bCs/>
          <w:b/>
        </w:rPr>
        <w:t xml:space="preserve">Total EoL Emissions:</w:t>
      </w:r>
      <w:r>
        <w:t xml:space="preserve"> </w:t>
      </w:r>
      <w:r>
        <w:t xml:space="preserve">0.01 + (-1.20) = -1.19 kgCO2e/unit (Net carbon removal due to circular programs).</w:t>
      </w:r>
    </w:p>
    <w:p>
      <w:pPr>
        <w:pStyle w:val="FirstParagraph"/>
      </w:pPr>
      <w:r>
        <w:rPr>
          <w:bCs/>
          <w:b/>
        </w:rPr>
        <w:t xml:space="preserve">Total Scope 3 Downstream Emissions:</w:t>
      </w:r>
      <w:r>
        <w:t xml:space="preserve"> </w:t>
      </w:r>
      <w:r>
        <w:t xml:space="preserve">13.50 + (-1.19) = 12.31 kgCO2e/unit</w:t>
      </w:r>
    </w:p>
    <w:bookmarkEnd w:id="34"/>
    <w:bookmarkEnd w:id="35"/>
    <w:bookmarkStart w:id="36" w:name="application-of-2026-lsr-update"/>
    <w:p>
      <w:pPr>
        <w:pStyle w:val="Heading3"/>
      </w:pPr>
      <w:r>
        <w:t xml:space="preserve">Application of 2026 LSR Update</w:t>
      </w:r>
    </w:p>
    <w:p>
      <w:pPr>
        <w:pStyle w:val="FirstParagraph"/>
      </w:pPr>
      <w:r>
        <w:t xml:space="preserve">The 2026 Land Sector and Removals (LSR) Standard is acknowledged. In this PCF, the negative emissions (carbon removals/credits) from the End-of-Life phase due to recycling and circular economy programs (otusltdmgh) are directly integrated into the Scope 3 calculations, reflecting their impact on the overall carbon footprint. This aligns with the LSR standard\'s emphasis on transparent reporting of removals and land-based emissions.</w:t>
      </w:r>
    </w:p>
    <w:bookmarkEnd w:id="36"/>
    <w:bookmarkStart w:id="37" w:name="overall-ghg-protocol-scope-3-compliance"/>
    <w:p>
      <w:pPr>
        <w:pStyle w:val="Heading3"/>
      </w:pPr>
      <w:r>
        <w:t xml:space="preserve">Overall GHG Protocol Scope 3 Compliance</w:t>
      </w:r>
    </w:p>
    <w:p>
      <w:pPr>
        <w:pStyle w:val="FirstParagraph"/>
      </w:pPr>
      <w:r>
        <w:t xml:space="preserve">With detailed breakdown of materials, transport, use phase, and end-of-life, the Scope 3 reporting for ojuuwtnjrz achieves well over 95% coverage, fulfilling the stringent 2026 requirements. Key emission sources across the value chain are identified and quantified.</w:t>
      </w:r>
    </w:p>
    <w:bookmarkEnd w:id="37"/>
    <w:bookmarkStart w:id="38" w:name="summary-of-emissions"/>
    <w:p>
      <w:pPr>
        <w:pStyle w:val="Heading3"/>
      </w:pPr>
      <w:r>
        <w:t xml:space="preserve">Summary of Emissions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1.68</w:t>
            </w:r>
          </w:p>
        </w:tc>
        <w:tc>
          <w:tcPr/>
          <w:p>
            <w:pPr>
              <w:pStyle w:val="Compact"/>
              <w:jc w:val="left"/>
            </w:pPr>
            <w:r>
              <w:t xml:space="preserve">6.5%</w:t>
            </w:r>
          </w:p>
        </w:tc>
      </w:tr>
      <w:tr>
        <w:tc>
          <w:tcPr>
            <w:vMerge w:val="restart"/>
          </w:tcPr>
          <w:p>
            <w:pPr>
              <w:pStyle w:val="Compact"/>
              <w:jc w:val="left"/>
            </w:pPr>
            <w:r>
              <w:t xml:space="preserve">Scope 3</w:t>
            </w:r>
          </w:p>
        </w:tc>
        <w:tc>
          <w:tcPr/>
          <w:p>
            <w:pPr>
              <w:pStyle w:val="Compact"/>
              <w:jc w:val="left"/>
            </w:pPr>
            <w:r>
              <w:t xml:space="preserve">Upstream (Materials, Transport)</w:t>
            </w:r>
          </w:p>
        </w:tc>
        <w:tc>
          <w:tcPr/>
          <w:p>
            <w:pPr>
              <w:pStyle w:val="Compact"/>
              <w:jc w:val="left"/>
            </w:pPr>
            <w:r>
              <w:t xml:space="preserve">6.07</w:t>
            </w:r>
          </w:p>
        </w:tc>
        <w:tc>
          <w:tcPr/>
          <w:p>
            <w:pPr>
              <w:pStyle w:val="Compact"/>
              <w:jc w:val="left"/>
            </w:pPr>
            <w:r>
              <w:t xml:space="preserve">23.4%</w:t>
            </w:r>
          </w:p>
        </w:tc>
      </w:tr>
      <w:tr>
        <w:tc>
          <w:tcPr>
            <w:gridSpan w:val="1"/>
            <w:vMerge w:val="continue"/>
          </w:tcPr>
          <w:p>
            <w:pPr/>
          </w:p>
        </w:tc>
        <w:tc>
          <w:tcPr/>
          <w:p>
            <w:pPr>
              <w:pStyle w:val="Compact"/>
              <w:jc w:val="left"/>
            </w:pPr>
            <w:r>
              <w:t xml:space="preserve">Downstream (Use Phase, EoL)</w:t>
            </w:r>
          </w:p>
        </w:tc>
        <w:tc>
          <w:tcPr/>
          <w:p>
            <w:pPr>
              <w:pStyle w:val="Compact"/>
              <w:jc w:val="left"/>
            </w:pPr>
            <w:r>
              <w:t xml:space="preserve">12.31</w:t>
            </w:r>
          </w:p>
        </w:tc>
        <w:tc>
          <w:tcPr/>
          <w:p>
            <w:pPr>
              <w:pStyle w:val="Compact"/>
              <w:jc w:val="left"/>
            </w:pPr>
            <w:r>
              <w:t xml:space="preserve">47.5%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20.06</w:t>
            </w:r>
          </w:p>
        </w:tc>
        <w:tc>
          <w:tcPr/>
          <w:p>
            <w:pPr>
              <w:pStyle w:val="Compact"/>
              <w:jc w:val="left"/>
            </w:pPr>
            <w:r>
              <w:rPr>
                <w:bCs/>
                <w:b/>
              </w:rPr>
              <w:t xml:space="preserve">100%</w:t>
            </w:r>
          </w:p>
        </w:tc>
      </w:tr>
    </w:tbl>
    <w:p>
      <w:pPr>
        <w:pStyle w:val="BodyText"/>
      </w:pPr>
      <w:r>
        <w:rPr>
          <w:bCs/>
          <w:b/>
        </w:rPr>
        <w:t xml:space="preserve">Total Product Carbon Footprint for ojuuwtnjrz: 20.06 kgCO2e per unit.</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Emission Hotspots</w:t>
      </w:r>
    </w:p>
    <w:p>
      <w:pPr>
        <w:pStyle w:val="FirstParagraph"/>
      </w:pPr>
      <w:r>
        <w:t xml:space="preserve">The analysis reveals the primary emission hotspots across the lifecycle of ojuuwtnjrz:</w:t>
      </w:r>
    </w:p>
    <w:p>
      <w:pPr>
        <w:numPr>
          <w:ilvl w:val="0"/>
          <w:numId w:val="1016"/>
        </w:numPr>
        <w:pStyle w:val="Compact"/>
      </w:pPr>
      <w:r>
        <w:rPr>
          <w:bCs/>
          <w:b/>
        </w:rPr>
        <w:t xml:space="preserve">Use Phase (47.5%):</w:t>
      </w:r>
      <w:r>
        <w:t xml:space="preserve"> </w:t>
      </w:r>
      <w:r>
        <w:t xml:space="preserve">The most significant contributor to the PCF is the energy consumed during the product\'s 3-year lifespan. This is largely dependent on the grid electricity mix in Europe, where the product is assumed to be used.</w:t>
      </w:r>
    </w:p>
    <w:p>
      <w:pPr>
        <w:numPr>
          <w:ilvl w:val="0"/>
          <w:numId w:val="1016"/>
        </w:numPr>
        <w:pStyle w:val="Compact"/>
      </w:pPr>
      <w:r>
        <w:rPr>
          <w:bCs/>
          <w:b/>
        </w:rPr>
        <w:t xml:space="preserve">Materials (23.4% of total, significant portion of Scope 3 upstream):</w:t>
      </w:r>
      <w:r>
        <w:t xml:space="preserve"> </w:t>
      </w:r>
      <w:r>
        <w:t xml:space="preserve">The raw material acquisition and production, particularly for components like the battery and PCB, represent a substantial upstream impact.</w:t>
      </w:r>
    </w:p>
    <w:p>
      <w:pPr>
        <w:numPr>
          <w:ilvl w:val="0"/>
          <w:numId w:val="1016"/>
        </w:numPr>
        <w:pStyle w:val="Compact"/>
      </w:pPr>
      <w:r>
        <w:rPr>
          <w:bCs/>
          <w:b/>
        </w:rPr>
        <w:t xml:space="preserve">Manufacturing (Scope 2, 6.5%):</w:t>
      </w:r>
      <w:r>
        <w:t xml:space="preserve"> </w:t>
      </w:r>
      <w:r>
        <w:t xml:space="preserve">While spowqgleuf utilizes 60% renewable energy, the remaining 40% from the China grid still contributes to the overall footprint. Increasing renewable energy penetration or optimizing manufacturing efficiency would further reduce this.</w:t>
      </w:r>
    </w:p>
    <w:p>
      <w:pPr>
        <w:numPr>
          <w:ilvl w:val="0"/>
          <w:numId w:val="1016"/>
        </w:numPr>
        <w:pStyle w:val="Compact"/>
      </w:pPr>
      <w:r>
        <w:rPr>
          <w:bCs/>
          <w:b/>
        </w:rPr>
        <w:t xml:space="preserve">End-of-Life (Net Carbon Removal):</w:t>
      </w:r>
      <w:r>
        <w:t xml:space="preserve"> </w:t>
      </w:r>
      <w:r>
        <w:t xml:space="preserve">The comprehensive take-back and recycling programs result in a net carbon removal, significantly mitigating the overall EoL impact and highlighting the benefits of circular economy initiatives.</w:t>
      </w:r>
    </w:p>
    <w:bookmarkEnd w:id="40"/>
    <w:bookmarkStart w:id="41" w:name="reliability-and-limitations"/>
    <w:p>
      <w:pPr>
        <w:pStyle w:val="Heading3"/>
      </w:pPr>
      <w:r>
        <w:t xml:space="preserve">Reliability and Limitations</w:t>
      </w:r>
    </w:p>
    <w:p>
      <w:pPr>
        <w:pStyle w:val="FirstParagraph"/>
      </w:pPr>
      <w:r>
        <w:t xml:space="preserve">The reliability of this report is high regarding methodology and adherence to GHG Protocol standards. However, the quantitative results are based on specific input parameters (e.g., \'tewgthxo\', \'fnvdjdsoxd\', \'zphtvxopqz\', \'qspqfyolyw\', \'sxuslkydtv\', \'nimepzggwh\', \'nhkduepnem\', \'otusltdmgh\') which were provided as placeholders. Where specific numerical values were not provided for certain emission factors (e.g., for transport modes, grid mixes), illustrative industry-average data from sources akin to Ecoinvent or DEFRA databases have been used. For a definitive, auditable PCF, primary data for all parameters and specific, verified emission factors would be essential.</w:t>
      </w:r>
    </w:p>
    <w:bookmarkEnd w:id="41"/>
    <w:bookmarkStart w:id="42" w:name="recommendations"/>
    <w:p>
      <w:pPr>
        <w:pStyle w:val="Heading3"/>
      </w:pPr>
      <w:r>
        <w:t xml:space="preserve">Recommendations</w:t>
      </w:r>
    </w:p>
    <w:p>
      <w:pPr>
        <w:numPr>
          <w:ilvl w:val="0"/>
          <w:numId w:val="1017"/>
        </w:numPr>
        <w:pStyle w:val="Compact"/>
      </w:pPr>
      <w:r>
        <w:rPr>
          <w:bCs/>
          <w:b/>
        </w:rPr>
        <w:t xml:space="preserve">Energy Efficiency in Use Phase:</w:t>
      </w:r>
      <w:r>
        <w:t xml:space="preserve"> </w:t>
      </w:r>
      <w:r>
        <w:t xml:space="preserve">Investigate opportunities to reduce the energy consumption of ojuuwtnjrz during its operational life. This could include more efficient components or power management features.</w:t>
      </w:r>
    </w:p>
    <w:p>
      <w:pPr>
        <w:numPr>
          <w:ilvl w:val="0"/>
          <w:numId w:val="1017"/>
        </w:numPr>
        <w:pStyle w:val="Compact"/>
      </w:pPr>
      <w:r>
        <w:rPr>
          <w:bCs/>
          <w:b/>
        </w:rPr>
        <w:t xml:space="preserve">Renewable Energy Procurement:</w:t>
      </w:r>
      <w:r>
        <w:t xml:space="preserve"> </w:t>
      </w:r>
      <w:r>
        <w:t xml:space="preserve">Further increase the share of renewable energy used in manufacturing facilities, especially in China, to reduce Scope 2 emissions.</w:t>
      </w:r>
    </w:p>
    <w:p>
      <w:pPr>
        <w:numPr>
          <w:ilvl w:val="0"/>
          <w:numId w:val="1017"/>
        </w:numPr>
        <w:pStyle w:val="Compact"/>
      </w:pPr>
      <w:r>
        <w:rPr>
          <w:bCs/>
          <w:b/>
        </w:rPr>
        <w:t xml:space="preserve">Supply Chain Engagement:</w:t>
      </w:r>
      <w:r>
        <w:t xml:space="preserve"> </w:t>
      </w:r>
      <w:r>
        <w:t xml:space="preserve">Work with material suppliers to identify lower-carbon alternatives for high-impact components like batteries and PCBs, or encourage suppliers to adopt sustainable manufacturing practices.</w:t>
      </w:r>
    </w:p>
    <w:p>
      <w:pPr>
        <w:numPr>
          <w:ilvl w:val="0"/>
          <w:numId w:val="1017"/>
        </w:numPr>
        <w:pStyle w:val="Compact"/>
      </w:pPr>
      <w:r>
        <w:rPr>
          <w:bCs/>
          <w:b/>
        </w:rPr>
        <w:t xml:space="preserve">Enhance Circularity:</w:t>
      </w:r>
      <w:r>
        <w:t xml:space="preserve"> </w:t>
      </w:r>
      <w:r>
        <w:t xml:space="preserve">Continue to strengthen take-back and recycling programs, exploring opportunities for increased material recovery and closed-loop systems to maximize avoided emissions at EoL.</w:t>
      </w:r>
    </w:p>
    <w:p>
      <w:pPr>
        <w:numPr>
          <w:ilvl w:val="0"/>
          <w:numId w:val="1017"/>
        </w:numPr>
        <w:pStyle w:val="Compact"/>
      </w:pPr>
      <w:r>
        <w:rPr>
          <w:bCs/>
          <w:b/>
        </w:rPr>
        <w:t xml:space="preserve">Product Design Optimization:</w:t>
      </w:r>
      <w:r>
        <w:t xml:space="preserve"> </w:t>
      </w:r>
      <w:r>
        <w:t xml:space="preserve">Integrate PCF considerations into product design (eco-design) to reduce material intensity, extend product lifespan, and improve recyclability.</w:t>
      </w:r>
    </w:p>
    <w:p>
      <w:r>
        <w:pict>
          <v:rect style="width:0;height:1.5pt" o:hralign="center" o:hrstd="t" o:hr="t"/>
        </w:pict>
      </w:r>
    </w:p>
    <w:p>
      <w:pPr>
        <w:pStyle w:val="FirstParagraph"/>
      </w:pPr>
      <w:r>
        <w:t xml:space="preserve">Confidential - Internal Use Only | Page</w:t>
      </w:r>
      <w:r>
        <w:t xml:space="preserve"> </w:t>
      </w:r>
      <w:r>
        <w:t xml:space="preserve">1</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ojuuwtnjrz</dc:title>
  <dc:creator/>
  <dc:description>High-detail Product Carbon Footprint (PCF) analysis report for ojuuwtnjrz, conducted by eesuwdvkph for spowqgleuf, adhering to GHG Protocol standards and 2026 LSR update.</dc:description>
  <dc:language>en</dc:language>
  <cp:keywords/>
  <dcterms:created xsi:type="dcterms:W3CDTF">2026-10-16T15:41:44Z</dcterms:created>
  <dcterms:modified xsi:type="dcterms:W3CDTF">2026-10-16T15:41:44Z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