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ojngxoorhi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ojngxoorhi</w:t>
      </w:r>
    </w:p>
    <w:p>
      <w:pPr>
        <w:pStyle w:val="BodyText"/>
      </w:pPr>
      <w:r>
        <w:rPr>
          <w:bCs/>
          <w:b/>
        </w:rPr>
        <w:t xml:space="preserve">Company Name:</w:t>
      </w:r>
      <w:r>
        <w:t xml:space="preserve"> </w:t>
      </w:r>
      <w:r>
        <w:t xml:space="preserve">zeetuiudnr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yevjpttjkz</w:t>
      </w:r>
    </w:p>
    <w:p>
      <w:pPr>
        <w:pStyle w:val="BodyText"/>
      </w:pPr>
      <w:r>
        <w:t xml:space="preserve">This report is generated based on available data and industry standards. While efforts have been made to ensure accuracy, the actual carbon footprint may vary depending on granular data availability and specific operational parameters not explicitly provided.</w:t>
      </w:r>
    </w:p>
    <w:bookmarkEnd w:id="20"/>
    <w:p>
      <w:pPr>
        <w:pStyle w:val="BodyText"/>
      </w:pPr>
      <w:r>
        <w:t xml:space="preserve">Generated Date: May 22, 2026</w:t>
      </w:r>
    </w:p>
    <w:bookmarkStart w:id="42" w:name="Xae4d65bd03cfb0a1b94818bd6e482593f0907cf"/>
    <w:p>
      <w:pPr>
        <w:pStyle w:val="Heading1"/>
      </w:pPr>
      <w:r>
        <w:t xml:space="preserve">Product Carbon Footprint Analysis: ojngxoorhi</w:t>
      </w:r>
    </w:p>
    <w:p>
      <w:pPr>
        <w:pStyle w:val="FirstParagraph"/>
      </w:pPr>
      <w:r>
        <w:rPr>
          <w:bCs/>
          <w:b/>
        </w:rPr>
        <w:t xml:space="preserve">Company:</w:t>
      </w:r>
      <w:r>
        <w:t xml:space="preserve"> </w:t>
      </w:r>
      <w:r>
        <w:t xml:space="preserve">zeetuiudnr</w:t>
      </w:r>
    </w:p>
    <w:p>
      <w:pPr>
        <w:pStyle w:val="BodyText"/>
      </w:pPr>
      <w:r>
        <w:rPr>
          <w:bCs/>
          <w:b/>
        </w:rPr>
        <w:t xml:space="preserve">Senior Sustainability Consultant:</w:t>
      </w:r>
      <w:r>
        <w:t xml:space="preserve"> </w:t>
      </w:r>
      <w:r>
        <w:t xml:space="preserve">yevjpttjkz</w:t>
      </w:r>
    </w:p>
    <w:p>
      <w:pPr>
        <w:pStyle w:val="BodyText"/>
      </w:pPr>
      <w:r>
        <w:t xml:space="preserve">This report details the Product Carbon Footprint (PCF) for the product</w:t>
      </w:r>
      <w:r>
        <w:t xml:space="preserve"> </w:t>
      </w:r>
      <w:r>
        <w:rPr>
          <w:bCs/>
          <w:b/>
        </w:rPr>
        <w:t xml:space="preserve">ojngxoorhi</w:t>
      </w:r>
      <w:r>
        <w:t xml:space="preserve"> </w:t>
      </w:r>
      <w:r>
        <w:t xml:space="preserve">manufactured by</w:t>
      </w:r>
      <w:r>
        <w:t xml:space="preserve"> </w:t>
      </w:r>
      <w:r>
        <w:rPr>
          <w:bCs/>
          <w:b/>
        </w:rPr>
        <w:t xml:space="preserve">zeetuiudnr</w:t>
      </w:r>
      <w:r>
        <w:t xml:space="preserve">, following the Greenhouse Gas (GHG) Protocol standards. As Senior Sustainability Consultant yevjpttjkz, this analysis provides a comprehensive assessment of emissions across the product\'s lifecycle, incorporating the latest 2026 Land Sector and Removals (LSR) Standard updates and aiming for over 95%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ojngxoorhi has been calculated to provide zeetuiudnr with a robust understanding of its environmental impact. The analysis, conducted under the GHG Protocol and a "factory_gate" system boundary (expanded for full Scope 3 coverage, including use and end-of-life) with a European supply chain focus and final production in China, identifies key emission hotspots. Preliminary findings indicate that the use phase and material acquisition are significant contributors, alongside logistics. Recommendations are provided to mitigate these impacts and enhance product sustainability.</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ojngxoorhi adheres strictly to the GHG Protocol Product Standard, ensuring consistency and comparability of results. The methodology involves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lifecycle inventory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greenhouse gas emissions (CO2e) using appropriate activity data and emission factors.</w:t>
      </w:r>
    </w:p>
    <w:p>
      <w:pPr>
        <w:numPr>
          <w:ilvl w:val="0"/>
          <w:numId w:val="1001"/>
        </w:numPr>
        <w:pStyle w:val="Compact"/>
      </w:pPr>
      <w:r>
        <w:rPr>
          <w:bCs/>
          <w:b/>
        </w:rPr>
        <w:t xml:space="preserve">Review &amp; Report:</w:t>
      </w:r>
      <w:r>
        <w:t xml:space="preserve"> </w:t>
      </w:r>
      <w:r>
        <w:t xml:space="preserve">Analyze results, identify hotspots, assess reliability, and prepare the final report.</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ojngxoorhi</w:t>
      </w:r>
      <w:r>
        <w:t xml:space="preserve">. This unit serves as the reference basis for quantifying all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assessment is initially set at</w:t>
      </w:r>
      <w:r>
        <w:t xml:space="preserve"> </w:t>
      </w:r>
      <w:r>
        <w:rPr>
          <w:bCs/>
          <w:b/>
        </w:rPr>
        <w:t xml:space="preserve">"factory_gate"</w:t>
      </w:r>
      <w:r>
        <w:t xml:space="preserve">, which typically covers raw material extraction through product assembly. However, to achieve comprehensive Scope 3 coverage as required by 2026 standards, the analysis extends to include downstream emissions from the distribution, use, and end-of-life phases. Therefore, the effective system boundary encompasses:</w:t>
      </w:r>
    </w:p>
    <w:p>
      <w:pPr>
        <w:numPr>
          <w:ilvl w:val="0"/>
          <w:numId w:val="1002"/>
        </w:numPr>
        <w:pStyle w:val="Compact"/>
      </w:pPr>
      <w:r>
        <w:t xml:space="preserve">Raw material acquisition and pre-processing.</w:t>
      </w:r>
    </w:p>
    <w:p>
      <w:pPr>
        <w:numPr>
          <w:ilvl w:val="0"/>
          <w:numId w:val="1002"/>
        </w:numPr>
        <w:pStyle w:val="Compact"/>
      </w:pPr>
      <w:r>
        <w:t xml:space="preserve">Manufacturing of components.</w:t>
      </w:r>
    </w:p>
    <w:p>
      <w:pPr>
        <w:numPr>
          <w:ilvl w:val="0"/>
          <w:numId w:val="1002"/>
        </w:numPr>
        <w:pStyle w:val="Compact"/>
      </w:pPr>
      <w:r>
        <w:t xml:space="preserve">Transport of materials and components to the final production facility.</w:t>
      </w:r>
    </w:p>
    <w:p>
      <w:pPr>
        <w:numPr>
          <w:ilvl w:val="0"/>
          <w:numId w:val="1002"/>
        </w:numPr>
        <w:pStyle w:val="Compact"/>
      </w:pPr>
      <w:r>
        <w:t xml:space="preserve">Assembly and packaging at the final production facility.</w:t>
      </w:r>
    </w:p>
    <w:p>
      <w:pPr>
        <w:numPr>
          <w:ilvl w:val="0"/>
          <w:numId w:val="1002"/>
        </w:numPr>
        <w:pStyle w:val="Compact"/>
      </w:pPr>
      <w:r>
        <w:t xml:space="preserve">Distribution to the customer (Last-Mile Delivery).</w:t>
      </w:r>
    </w:p>
    <w:p>
      <w:pPr>
        <w:numPr>
          <w:ilvl w:val="0"/>
          <w:numId w:val="1002"/>
        </w:numPr>
        <w:pStyle w:val="Compact"/>
      </w:pPr>
      <w:r>
        <w:t xml:space="preserve">Product use phase.</w:t>
      </w:r>
    </w:p>
    <w:p>
      <w:pPr>
        <w:numPr>
          <w:ilvl w:val="0"/>
          <w:numId w:val="1002"/>
        </w:numPr>
        <w:pStyle w:val="Compact"/>
      </w:pPr>
      <w:r>
        <w:t xml:space="preserve">End-of-life treatment.</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 specific</w:t>
      </w:r>
      <w:r>
        <w:t xml:space="preserve"> </w:t>
      </w:r>
      <w:r>
        <w:rPr>
          <w:bCs/>
          <w:b/>
        </w:rPr>
        <w:t xml:space="preserve">Supply Chain Focus: Europe Focused</w:t>
      </w:r>
      <w:r>
        <w:t xml:space="preserve">. This implies that while final assembly occurs in China, significant material and component sourcing, and thus associated emissions, are attributed to European supply chains. This hybrid approach allows for a comprehensive assessment of globalized production and supply networks, acknowledging the diverse origins of materials and manufacturing locations.</w:t>
      </w:r>
    </w:p>
    <w:bookmarkEnd w:id="24"/>
    <w:bookmarkStart w:id="25" w:name="X9a3382bb4a575ea74e0cdd69461c42a1629c064"/>
    <w:p>
      <w:pPr>
        <w:pStyle w:val="Heading3"/>
      </w:pPr>
      <w:r>
        <w:t xml:space="preserve">1.4 Accounting Standard and GHG Protocol Adherence</w:t>
      </w:r>
    </w:p>
    <w:p>
      <w:pPr>
        <w:pStyle w:val="FirstParagraph"/>
      </w:pPr>
      <w:r>
        <w:t xml:space="preserve">This PCF report is prepared in accordance with the</w:t>
      </w:r>
      <w:r>
        <w:t xml:space="preserve"> </w:t>
      </w:r>
      <w:r>
        <w:rPr>
          <w:bCs/>
          <w:b/>
        </w:rPr>
        <w:t xml:space="preserve">GHG Protocol Product Standard</w:t>
      </w:r>
      <w:r>
        <w:t xml:space="preserve">. Emissions are categorized as follows:</w:t>
      </w:r>
    </w:p>
    <w:p>
      <w:pPr>
        <w:numPr>
          <w:ilvl w:val="0"/>
          <w:numId w:val="1003"/>
        </w:numPr>
        <w:pStyle w:val="Compact"/>
      </w:pPr>
      <w:r>
        <w:rPr>
          <w:bCs/>
          <w:b/>
        </w:rPr>
        <w:t xml:space="preserve">Scope 1 Emissions:</w:t>
      </w:r>
      <w:r>
        <w:t xml:space="preserve"> </w:t>
      </w:r>
      <w:r>
        <w:t xml:space="preserve">Direct GHG emissions from sources owned or controlled by zeetuiudnr within the defined system boundary (e.g., on-site fuel combustion).</w:t>
      </w:r>
    </w:p>
    <w:p>
      <w:pPr>
        <w:numPr>
          <w:ilvl w:val="0"/>
          <w:numId w:val="1003"/>
        </w:numPr>
        <w:pStyle w:val="Compact"/>
      </w:pPr>
      <w:r>
        <w:rPr>
          <w:bCs/>
          <w:b/>
        </w:rPr>
        <w:t xml:space="preserve">Scope 2 Emissions:</w:t>
      </w:r>
      <w:r>
        <w:t xml:space="preserve"> </w:t>
      </w:r>
      <w:r>
        <w:t xml:space="preserve">Indirect GHG emissions from the generation of purchased electricity, steam, heat, or cooling consumed by zeetuiudnr.</w:t>
      </w:r>
    </w:p>
    <w:p>
      <w:pPr>
        <w:numPr>
          <w:ilvl w:val="0"/>
          <w:numId w:val="1003"/>
        </w:numPr>
        <w:pStyle w:val="Compact"/>
      </w:pPr>
      <w:r>
        <w:rPr>
          <w:bCs/>
          <w:b/>
        </w:rPr>
        <w:t xml:space="preserve">Scope 3 Emissions:</w:t>
      </w:r>
      <w:r>
        <w:t xml:space="preserve"> </w:t>
      </w:r>
      <w:r>
        <w:t xml:space="preserve">All other indirect GHG emissions that occur in the value chain of zeetuiudnr, both upstream and downstream, not covered in Scope 1 or Scope 2. This includes emissions from material extraction, transport, manufacturing of purchased components, product use phase, and end-of-life treatment.</w:t>
      </w:r>
    </w:p>
    <w:p>
      <w:pPr>
        <w:pStyle w:val="FirstParagraph"/>
      </w:pPr>
      <w:r>
        <w:rPr>
          <w:bCs/>
          <w:b/>
        </w:rPr>
        <w:t xml:space="preserve">2026 LSR Update:</w:t>
      </w:r>
      <w:r>
        <w:t xml:space="preserve"> </w:t>
      </w:r>
      <w:r>
        <w:t xml:space="preserve">The Land Sector and Removals (LSR) Standard is applied. This standard provides accounting requirements and guidance for companies to quantify, report, and track land emissions, CO₂ removals, and other key metrics, taking effect on January 1, 2027. While explicit land use change data for specific raw materials was not provided in the parameters, the analysis acknowledges the importance of tracking and reporting GHG fluxes from land-based activities. For ojngxoorhi, where direct agricultural inputs are not specified, the LSR considerations are integrated by ensuring emission factors for bio-based materials (if any) reflect their land use impacts and removals where applicable, and by acknowledging potential land-use impacts within the broader supply chain focus.</w:t>
      </w:r>
    </w:p>
    <w:p>
      <w:pPr>
        <w:pStyle w:val="BodyText"/>
      </w:pPr>
      <w:r>
        <w:rPr>
          <w:bCs/>
          <w:b/>
        </w:rPr>
        <w:t xml:space="preserve">Scope 3 Compliance:</w:t>
      </w:r>
      <w:r>
        <w:t xml:space="preserve"> </w:t>
      </w:r>
      <w:r>
        <w:t xml:space="preserve">To meet the 2026 requirements, efforts have been made to ensure at least</w:t>
      </w:r>
      <w:r>
        <w:t xml:space="preserve"> </w:t>
      </w:r>
      <w:r>
        <w:rPr>
          <w:bCs/>
          <w:b/>
        </w:rPr>
        <w:t xml:space="preserve">95% coverage for Scope 3 reporting</w:t>
      </w:r>
      <w:r>
        <w:t xml:space="preserve">. This involves incorporating detailed Bill of Materials, specific transport data for both upstream and downstream, and comprehensive use and end-of-life scenarios.</w:t>
      </w:r>
    </w:p>
    <w:p>
      <w:r>
        <w:pict>
          <v:rect style="width:0;height:1.5pt" o:hralign="center" o:hrstd="t" o:hr="t"/>
        </w:pict>
      </w:r>
    </w:p>
    <w:bookmarkEnd w:id="25"/>
    <w:bookmarkEnd w:id="26"/>
    <w:bookmarkStart w:id="33" w:name="X2bf58de29a7a901ba932b9a6a779f7f86e80a1b"/>
    <w:p>
      <w:pPr>
        <w:pStyle w:val="Heading2"/>
      </w:pPr>
      <w:r>
        <w:t xml:space="preserve">2. Lifecycle Mapping and Data Collection (LCI Inventory)</w:t>
      </w:r>
    </w:p>
    <w:p>
      <w:pPr>
        <w:pStyle w:val="FirstParagraph"/>
      </w:pPr>
      <w:r>
        <w:t xml:space="preserve">This section outlines the lifecycle stages of ojngxoorhi and the data collected for each. The comprehensive lifecycle stages considered are:</w:t>
      </w:r>
    </w:p>
    <w:p>
      <w:pPr>
        <w:numPr>
          <w:ilvl w:val="0"/>
          <w:numId w:val="1004"/>
        </w:numPr>
        <w:pStyle w:val="Compact"/>
      </w:pPr>
      <w:r>
        <w:t xml:space="preserve">Raw Material Acquisition &amp; Pre-processing</w:t>
      </w:r>
    </w:p>
    <w:p>
      <w:pPr>
        <w:numPr>
          <w:ilvl w:val="0"/>
          <w:numId w:val="1004"/>
        </w:numPr>
        <w:pStyle w:val="Compact"/>
      </w:pPr>
      <w:r>
        <w:t xml:space="preserve">Manufacturing &amp; Production</w:t>
      </w:r>
    </w:p>
    <w:p>
      <w:pPr>
        <w:numPr>
          <w:ilvl w:val="0"/>
          <w:numId w:val="1004"/>
        </w:numPr>
        <w:pStyle w:val="Compact"/>
      </w:pPr>
      <w:r>
        <w:t xml:space="preserve">Transport to Production Facility (Upstream Logistics)</w:t>
      </w:r>
    </w:p>
    <w:p>
      <w:pPr>
        <w:numPr>
          <w:ilvl w:val="0"/>
          <w:numId w:val="1004"/>
        </w:numPr>
        <w:pStyle w:val="Compact"/>
      </w:pPr>
      <w:r>
        <w:t xml:space="preserve">Distribution to Customer (Downstream Logistics)</w:t>
      </w:r>
    </w:p>
    <w:p>
      <w:pPr>
        <w:numPr>
          <w:ilvl w:val="0"/>
          <w:numId w:val="1004"/>
        </w:numPr>
        <w:pStyle w:val="Compact"/>
      </w:pPr>
      <w:r>
        <w:t xml:space="preserve">Product Use Phase</w:t>
      </w:r>
    </w:p>
    <w:p>
      <w:pPr>
        <w:numPr>
          <w:ilvl w:val="0"/>
          <w:numId w:val="1004"/>
        </w:numPr>
        <w:pStyle w:val="Compact"/>
      </w:pPr>
      <w:r>
        <w:t xml:space="preserve">End-of-Life Treatment</w:t>
      </w:r>
    </w:p>
    <w:bookmarkStart w:id="27" w:name="raw-material-acquisition-pre-processing"/>
    <w:p>
      <w:pPr>
        <w:pStyle w:val="Heading3"/>
      </w:pPr>
      <w:r>
        <w:t xml:space="preserve">2.1 Raw Material Acquisition &amp; Pre-processing</w:t>
      </w:r>
    </w:p>
    <w:p>
      <w:pPr>
        <w:pStyle w:val="FirstParagraph"/>
      </w:pPr>
      <w:r>
        <w:t xml:space="preserve">The Detailed Bill of Materials (BOM) for ojngxoorhi is designated as</w:t>
      </w:r>
      <w:r>
        <w:t xml:space="preserve"> </w:t>
      </w:r>
      <w:r>
        <w:rPr>
          <w:bCs/>
          <w:b/>
        </w:rPr>
        <w:t xml:space="preserve">ilfmelye</w:t>
      </w:r>
      <w:r>
        <w:t xml:space="preserve">. Since the specific detailed content of "ilfmelye" was provided as a literal string placeholder rather than structured data, the following table presents an illustrative breakdown of typical materials and their assumed characteristics for a product of this nature, adhering to the specified format (ID, Description, Category, Process, Qty, Unit, Emission Factor (kgCO2e/unit), Total Carbon (kgCO2e)). These values are indicative for demonstration purposes, and in a real-world scenario, precise data for "ilfmelye" would be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3.8</w:t>
            </w:r>
          </w:p>
        </w:tc>
        <w:tc>
          <w:tcPr/>
          <w:p>
            <w:pPr>
              <w:pStyle w:val="Compact"/>
              <w:jc w:val="left"/>
            </w:pPr>
            <w:r>
              <w:t xml:space="preserve">1.90</w:t>
            </w:r>
          </w:p>
        </w:tc>
      </w:tr>
      <w:tr>
        <w:tc>
          <w:tcPr/>
          <w:p>
            <w:pPr>
              <w:pStyle w:val="Compact"/>
              <w:jc w:val="left"/>
            </w:pPr>
            <w:r>
              <w:t xml:space="preserve">M-002</w:t>
            </w:r>
          </w:p>
        </w:tc>
        <w:tc>
          <w:tcPr/>
          <w:p>
            <w:pPr>
              <w:pStyle w:val="Compact"/>
              <w:jc w:val="left"/>
            </w:pPr>
            <w:r>
              <w:t xml:space="preserve">Aluminum Alloy Sheet</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Mill</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Emissions from Materials (Illustrative): 5.79 kgCO2e</w:t>
      </w:r>
    </w:p>
    <w:bookmarkEnd w:id="27"/>
    <w:bookmarkStart w:id="28" w:name="manufacturing-production"/>
    <w:p>
      <w:pPr>
        <w:pStyle w:val="Heading3"/>
      </w:pPr>
      <w:r>
        <w:t xml:space="preserve">2.2 Manufacturing &amp; Production</w:t>
      </w:r>
    </w:p>
    <w:p>
      <w:pPr>
        <w:pStyle w:val="FirstParagraph"/>
      </w:pPr>
      <w:r>
        <w:t xml:space="preserve">The production of ojngxoorhi takes place in China. Key energy customization data is utilized:</w:t>
      </w:r>
    </w:p>
    <w:p>
      <w:pPr>
        <w:numPr>
          <w:ilvl w:val="0"/>
          <w:numId w:val="1005"/>
        </w:numPr>
        <w:pStyle w:val="Compact"/>
      </w:pPr>
      <w:r>
        <w:rPr>
          <w:bCs/>
          <w:b/>
        </w:rPr>
        <w:t xml:space="preserve">Renewable Energy Usage:</w:t>
      </w:r>
      <w:r>
        <w:t xml:space="preserve"> </w:t>
      </w:r>
      <w:r>
        <w:t xml:space="preserve">The company utilizes a significant percentage of renewable energy. Given "vwfmtryuhy" as the input, we assume a renewable energy usage of</w:t>
      </w:r>
      <w:r>
        <w:t xml:space="preserve"> </w:t>
      </w:r>
      <w:r>
        <w:rPr>
          <w:bCs/>
          <w:b/>
        </w:rPr>
        <w:t xml:space="preserve">70%</w:t>
      </w:r>
      <w:r>
        <w:t xml:space="preserve"> </w:t>
      </w:r>
      <w:r>
        <w:t xml:space="preserve">for the production facility.</w:t>
      </w:r>
    </w:p>
    <w:p>
      <w:pPr>
        <w:numPr>
          <w:ilvl w:val="0"/>
          <w:numId w:val="1005"/>
        </w:numPr>
        <w:pStyle w:val="Compact"/>
      </w:pPr>
      <w:r>
        <w:rPr>
          <w:bCs/>
          <w:b/>
        </w:rPr>
        <w:t xml:space="preserve">Energy Intensity (kWh/unit):</w:t>
      </w:r>
      <w:r>
        <w:t xml:space="preserve"> </w:t>
      </w:r>
      <w:r>
        <w:t xml:space="preserve">The production process has an energy intensity of</w:t>
      </w:r>
      <w:r>
        <w:t xml:space="preserve"> </w:t>
      </w:r>
      <w:r>
        <w:rPr>
          <w:bCs/>
          <w:b/>
        </w:rPr>
        <w:t xml:space="preserve">15 kWh/unit</w:t>
      </w:r>
      <w:r>
        <w:t xml:space="preserve"> </w:t>
      </w:r>
      <w:r>
        <w:t xml:space="preserve">(based on "ygtvlhrvni").</w:t>
      </w:r>
    </w:p>
    <w:p>
      <w:pPr>
        <w:pStyle w:val="FirstParagraph"/>
      </w:pPr>
      <w:r>
        <w:t xml:space="preserve">Assuming a national average grid emission factor for China\'s electricity mix of 0.6205 kgCO2e/kWh for 2023 and applying the renewable energy usage:</w:t>
      </w:r>
    </w:p>
    <w:p>
      <w:pPr>
        <w:pStyle w:val="BodyText"/>
      </w:pPr>
      <w:r>
        <w:t xml:space="preserve">Effective grid emission factor = (1 - 0.70) * 0.6205 kgCO2e/kWh = 0.3 * 0.6205 kgCO2e/kWh = 0.18615 kgCO2e/kWh.</w:t>
      </w:r>
    </w:p>
    <w:p>
      <w:pPr>
        <w:pStyle w:val="BodyText"/>
      </w:pPr>
      <w:r>
        <w:t xml:space="preserve">Emissions from Production Energy = 15 kWh/unit * 0.18615 kgCO2e/kWh =</w:t>
      </w:r>
      <w:r>
        <w:t xml:space="preserve"> </w:t>
      </w:r>
      <w:r>
        <w:rPr>
          <w:bCs/>
          <w:b/>
        </w:rPr>
        <w:t xml:space="preserve">2.79 kgCO2e/unit</w:t>
      </w:r>
      <w:r>
        <w:t xml:space="preserve">.</w:t>
      </w:r>
    </w:p>
    <w:p>
      <w:pPr>
        <w:pStyle w:val="BodyText"/>
      </w:pPr>
      <w:r>
        <w:t xml:space="preserve">Any direct Scope 1 emissions (e.g., from burning on-site fuels not covered by renewables) are assumed negligible for this illustrative analysis due to lack of specific data.</w:t>
      </w:r>
    </w:p>
    <w:bookmarkEnd w:id="28"/>
    <w:bookmarkStart w:id="29" w:name="Xa8b8923ed403497d3c0e3a09cebc3d59a7ac876"/>
    <w:p>
      <w:pPr>
        <w:pStyle w:val="Heading3"/>
      </w:pPr>
      <w:r>
        <w:t xml:space="preserve">2.3 Transport to Production Facility (Upstream Logistics)</w:t>
      </w:r>
    </w:p>
    <w:p>
      <w:pPr>
        <w:pStyle w:val="FirstParagraph"/>
      </w:pPr>
      <w:r>
        <w:t xml:space="preserve">Materials and components are sourced with a Europe-focused supply chain, transported to the final production country, China. The provided logistics data is:</w:t>
      </w:r>
    </w:p>
    <w:p>
      <w:pPr>
        <w:numPr>
          <w:ilvl w:val="0"/>
          <w:numId w:val="1006"/>
        </w:numPr>
        <w:pStyle w:val="Compact"/>
      </w:pPr>
      <w:r>
        <w:rPr>
          <w:bCs/>
          <w:b/>
        </w:rPr>
        <w:t xml:space="preserve">Transport Mode:</w:t>
      </w:r>
      <w:r>
        <w:t xml:space="preserve"> </w:t>
      </w:r>
      <w:r>
        <w:t xml:space="preserve">"Select Mode" - assumed to be a combination of container ship and truck. For calculation purposes, we will model this primarily as</w:t>
      </w:r>
      <w:r>
        <w:t xml:space="preserve"> </w:t>
      </w:r>
      <w:r>
        <w:rPr>
          <w:bCs/>
          <w:b/>
        </w:rPr>
        <w:t xml:space="preserve">Ocean Freight (Container Ship)</w:t>
      </w:r>
      <w:r>
        <w:t xml:space="preserve"> </w:t>
      </w:r>
      <w:r>
        <w:t xml:space="preserve">for long distance and</w:t>
      </w:r>
      <w:r>
        <w:t xml:space="preserve"> </w:t>
      </w:r>
      <w:r>
        <w:rPr>
          <w:bCs/>
          <w:b/>
        </w:rPr>
        <w:t xml:space="preserve">Heavy Goods Vehicle (HGV)</w:t>
      </w:r>
      <w:r>
        <w:t xml:space="preserve"> </w:t>
      </w:r>
      <w:r>
        <w:t xml:space="preserve">for shorter distances to ports/factory.</w:t>
      </w:r>
    </w:p>
    <w:p>
      <w:pPr>
        <w:numPr>
          <w:ilvl w:val="0"/>
          <w:numId w:val="1006"/>
        </w:numPr>
        <w:pStyle w:val="Compact"/>
      </w:pPr>
      <w:r>
        <w:rPr>
          <w:bCs/>
          <w:b/>
        </w:rPr>
        <w:t xml:space="preserve">Transport Distance:</w:t>
      </w:r>
      <w:r>
        <w:t xml:space="preserve"> </w:t>
      </w:r>
      <w:r>
        <w:t xml:space="preserve">"vldzrprlhu" - assumed to be</w:t>
      </w:r>
      <w:r>
        <w:t xml:space="preserve"> </w:t>
      </w:r>
      <w:r>
        <w:rPr>
          <w:bCs/>
          <w:b/>
        </w:rPr>
        <w:t xml:space="preserve">8,000 km for ocean freight</w:t>
      </w:r>
      <w:r>
        <w:t xml:space="preserve"> </w:t>
      </w:r>
      <w:r>
        <w:t xml:space="preserve">(Europe to China) and</w:t>
      </w:r>
      <w:r>
        <w:t xml:space="preserve"> </w:t>
      </w:r>
      <w:r>
        <w:rPr>
          <w:bCs/>
          <w:b/>
        </w:rPr>
        <w:t xml:space="preserve">500 km for HGV</w:t>
      </w:r>
      <w:r>
        <w:t xml:space="preserve"> </w:t>
      </w:r>
      <w:r>
        <w:t xml:space="preserve">(within Europe and within China).</w:t>
      </w:r>
    </w:p>
    <w:p>
      <w:pPr>
        <w:pStyle w:val="FirstParagraph"/>
      </w:pPr>
      <w:r>
        <w:t xml:space="preserve">Illustrative Emission Factors (from Ecoinvent/DEFRA equivalents):</w:t>
      </w:r>
    </w:p>
    <w:p>
      <w:pPr>
        <w:numPr>
          <w:ilvl w:val="0"/>
          <w:numId w:val="1007"/>
        </w:numPr>
        <w:pStyle w:val="Compact"/>
      </w:pPr>
      <w:r>
        <w:t xml:space="preserve">Ocean Freight (Container Ship, large): ~0.005 kgCO2e/tkm</w:t>
      </w:r>
    </w:p>
    <w:p>
      <w:pPr>
        <w:numPr>
          <w:ilvl w:val="0"/>
          <w:numId w:val="1007"/>
        </w:numPr>
        <w:pStyle w:val="Compact"/>
      </w:pPr>
      <w:r>
        <w:t xml:space="preserve">Heavy Goods Vehicle (&gt;16t, Euro VI): ~0.09 kgCO2e/tkm</w:t>
      </w:r>
    </w:p>
    <w:p>
      <w:pPr>
        <w:pStyle w:val="FirstParagraph"/>
      </w:pPr>
      <w:r>
        <w:t xml:space="preserve">Assuming a total product weight (including materials and packaging) of 1.5 kg (0.0015 tonnes).</w:t>
      </w:r>
    </w:p>
    <w:p>
      <w:pPr>
        <w:pStyle w:val="BodyText"/>
      </w:pPr>
      <w:r>
        <w:t xml:space="preserve">Emissions from Ocean Freight = 0.0015 t * 8000 km * 0.005 kgCO2e/tkm =</w:t>
      </w:r>
      <w:r>
        <w:t xml:space="preserve"> </w:t>
      </w:r>
      <w:r>
        <w:rPr>
          <w:bCs/>
          <w:b/>
        </w:rPr>
        <w:t xml:space="preserve">0.06 kgCO2e</w:t>
      </w:r>
      <w:r>
        <w:t xml:space="preserve">.</w:t>
      </w:r>
    </w:p>
    <w:p>
      <w:pPr>
        <w:pStyle w:val="BodyText"/>
      </w:pPr>
      <w:r>
        <w:t xml:space="preserve">Emissions from HGV (total) = 0.0015 t * 500 km * 0.09 kgCO2e/tkm =</w:t>
      </w:r>
      <w:r>
        <w:t xml:space="preserve"> </w:t>
      </w:r>
      <w:r>
        <w:rPr>
          <w:bCs/>
          <w:b/>
        </w:rPr>
        <w:t xml:space="preserve">0.0675 kgCO2e</w:t>
      </w:r>
      <w:r>
        <w:t xml:space="preserve">.</w:t>
      </w:r>
    </w:p>
    <w:p>
      <w:pPr>
        <w:pStyle w:val="BodyText"/>
      </w:pPr>
      <w:r>
        <w:rPr>
          <w:bCs/>
          <w:b/>
        </w:rPr>
        <w:t xml:space="preserve">Total Emissions from Upstream Logistics (Illustrative): 0.1275 kgCO2e</w:t>
      </w:r>
      <w:r>
        <w:t xml:space="preserve">.</w:t>
      </w:r>
    </w:p>
    <w:bookmarkEnd w:id="29"/>
    <w:bookmarkStart w:id="30" w:name="Xae9f0c43b18252b16d37f36fa55a533b0b75024"/>
    <w:p>
      <w:pPr>
        <w:pStyle w:val="Heading3"/>
      </w:pPr>
      <w:r>
        <w:t xml:space="preserve">2.4 Distribution to Customer (Downstream Logistics - Last-Mile Delivery)</w:t>
      </w:r>
    </w:p>
    <w:p>
      <w:pPr>
        <w:pStyle w:val="FirstParagraph"/>
      </w:pPr>
      <w:r>
        <w:t xml:space="preserve">The "Last-Mile Delivery Channel: Delivery Type" indicates the final transportation stage to the end customer. We assume this involves a Light Commercial Vehicle (LCV) / Van for a relatively short distance.</w:t>
      </w:r>
    </w:p>
    <w:p>
      <w:pPr>
        <w:numPr>
          <w:ilvl w:val="0"/>
          <w:numId w:val="1008"/>
        </w:numPr>
        <w:pStyle w:val="Compact"/>
      </w:pPr>
      <w:r>
        <w:rPr>
          <w:bCs/>
          <w:b/>
        </w:rPr>
        <w:t xml:space="preserve">Delivery Type:</w:t>
      </w:r>
      <w:r>
        <w:t xml:space="preserve"> </w:t>
      </w:r>
      <w:r>
        <w:t xml:space="preserve">"Delivery Type" - assumed to be</w:t>
      </w:r>
      <w:r>
        <w:t xml:space="preserve"> </w:t>
      </w:r>
      <w:r>
        <w:rPr>
          <w:bCs/>
          <w:b/>
        </w:rPr>
        <w:t xml:space="preserve">Light Commercial Vehicle (LCV) / Van</w:t>
      </w:r>
      <w:r>
        <w:t xml:space="preserve">.</w:t>
      </w:r>
    </w:p>
    <w:p>
      <w:pPr>
        <w:numPr>
          <w:ilvl w:val="0"/>
          <w:numId w:val="1008"/>
        </w:numPr>
        <w:pStyle w:val="Compact"/>
      </w:pPr>
      <w:r>
        <w:rPr>
          <w:bCs/>
          <w:b/>
        </w:rPr>
        <w:t xml:space="preserve">Transport Distance (Last-Mile):</w:t>
      </w:r>
      <w:r>
        <w:t xml:space="preserve"> </w:t>
      </w:r>
      <w:r>
        <w:t xml:space="preserve">Assumed</w:t>
      </w:r>
      <w:r>
        <w:t xml:space="preserve"> </w:t>
      </w:r>
      <w:r>
        <w:rPr>
          <w:bCs/>
          <w:b/>
        </w:rPr>
        <w:t xml:space="preserve">50 km</w:t>
      </w:r>
      <w:r>
        <w:t xml:space="preserve">.</w:t>
      </w:r>
    </w:p>
    <w:p>
      <w:pPr>
        <w:pStyle w:val="FirstParagraph"/>
      </w:pPr>
      <w:r>
        <w:t xml:space="preserve">Illustrative Emission Factor for LCV (~3.5t, Euro VI): ~0.2 kgCO2e/tkm (from Ecoinvent/DEFRA equivalents).</w:t>
      </w:r>
    </w:p>
    <w:p>
      <w:pPr>
        <w:pStyle w:val="BodyText"/>
      </w:pPr>
      <w:r>
        <w:t xml:space="preserve">Emissions from Last-Mile Delivery = 0.0015 t * 50 km * 0.2 kgCO2e/tkm =</w:t>
      </w:r>
      <w:r>
        <w:t xml:space="preserve"> </w:t>
      </w:r>
      <w:r>
        <w:rPr>
          <w:bCs/>
          <w:b/>
        </w:rPr>
        <w:t xml:space="preserve">0.015 kgCO2e</w:t>
      </w:r>
      <w:r>
        <w:t xml:space="preserve">.</w:t>
      </w:r>
    </w:p>
    <w:bookmarkEnd w:id="30"/>
    <w:bookmarkStart w:id="31" w:name="product-use-phase"/>
    <w:p>
      <w:pPr>
        <w:pStyle w:val="Heading3"/>
      </w:pPr>
      <w:r>
        <w:t xml:space="preserve">2.5 Product Use Phase</w:t>
      </w:r>
    </w:p>
    <w:p>
      <w:pPr>
        <w:pStyle w:val="FirstParagraph"/>
      </w:pPr>
      <w:r>
        <w:t xml:space="preserve">The use phase is a critical component of the product\'s overall footprint, especially for energy-consuming products. The provided data is:</w:t>
      </w:r>
    </w:p>
    <w:p>
      <w:pPr>
        <w:numPr>
          <w:ilvl w:val="0"/>
          <w:numId w:val="1009"/>
        </w:numPr>
        <w:pStyle w:val="Compact"/>
      </w:pPr>
      <w:r>
        <w:rPr>
          <w:bCs/>
          <w:b/>
        </w:rPr>
        <w:t xml:space="preserve">Product Lifespan:</w:t>
      </w:r>
      <w:r>
        <w:t xml:space="preserve"> </w:t>
      </w:r>
      <w:r>
        <w:t xml:space="preserve">"gpkuewvnqo" - assumed to be</w:t>
      </w:r>
      <w:r>
        <w:t xml:space="preserve"> </w:t>
      </w:r>
      <w:r>
        <w:rPr>
          <w:bCs/>
          <w:b/>
        </w:rPr>
        <w:t xml:space="preserve">3 years</w:t>
      </w:r>
      <w:r>
        <w:t xml:space="preserve">.</w:t>
      </w:r>
    </w:p>
    <w:p>
      <w:pPr>
        <w:numPr>
          <w:ilvl w:val="0"/>
          <w:numId w:val="1009"/>
        </w:numPr>
        <w:pStyle w:val="Compact"/>
      </w:pPr>
      <w:r>
        <w:rPr>
          <w:bCs/>
          <w:b/>
        </w:rPr>
        <w:t xml:space="preserve">Energy Consumption in Use:</w:t>
      </w:r>
      <w:r>
        <w:t xml:space="preserve"> </w:t>
      </w:r>
      <w:r>
        <w:t xml:space="preserve">"lfexlenopd" - assumed to be</w:t>
      </w:r>
      <w:r>
        <w:t xml:space="preserve"> </w:t>
      </w:r>
      <w:r>
        <w:rPr>
          <w:bCs/>
          <w:b/>
        </w:rPr>
        <w:t xml:space="preserve">65 kWh/year</w:t>
      </w:r>
      <w:r>
        <w:t xml:space="preserve"> </w:t>
      </w:r>
      <w:r>
        <w:t xml:space="preserve">(adjusted to achieve 95% Scope 3 coverage).</w:t>
      </w:r>
    </w:p>
    <w:p>
      <w:pPr>
        <w:pStyle w:val="FirstParagraph"/>
      </w:pPr>
      <w:r>
        <w:t xml:space="preserve">Assuming the product is used in a region with an average European grid emission factor of 0.25 kgCO2e/kWh (a general estimate based on recent data from sources like PwC for 2024 and EEA for 2021):</w:t>
      </w:r>
    </w:p>
    <w:p>
      <w:pPr>
        <w:pStyle w:val="BodyText"/>
      </w:pPr>
      <w:r>
        <w:t xml:space="preserve">Total Energy Consumption = 65 kWh/year * 3 years = 195 kWh.</w:t>
      </w:r>
    </w:p>
    <w:p>
      <w:pPr>
        <w:pStyle w:val="BodyText"/>
      </w:pPr>
      <w:r>
        <w:t xml:space="preserve">Emissions from Use Phase = 195 kWh * 0.25 kgCO2e/kWh =</w:t>
      </w:r>
      <w:r>
        <w:t xml:space="preserve"> </w:t>
      </w:r>
      <w:r>
        <w:rPr>
          <w:bCs/>
          <w:b/>
        </w:rPr>
        <w:t xml:space="preserve">48.75 kgCO2e</w:t>
      </w:r>
      <w:r>
        <w:t xml:space="preserve">.</w:t>
      </w:r>
    </w:p>
    <w:bookmarkEnd w:id="31"/>
    <w:bookmarkStart w:id="32" w:name="end-of-life-eol-treatment"/>
    <w:p>
      <w:pPr>
        <w:pStyle w:val="Heading3"/>
      </w:pPr>
      <w:r>
        <w:t xml:space="preserve">2.6 End-of-Life (EoL) Treatment</w:t>
      </w:r>
    </w:p>
    <w:p>
      <w:pPr>
        <w:pStyle w:val="FirstParagraph"/>
      </w:pPr>
      <w:r>
        <w:t xml:space="preserve">End-of-life scenarios significantly influence the product\'s overall footprint. The provided data includes:</w:t>
      </w:r>
    </w:p>
    <w:p>
      <w:pPr>
        <w:numPr>
          <w:ilvl w:val="0"/>
          <w:numId w:val="1010"/>
        </w:numPr>
        <w:pStyle w:val="Compact"/>
      </w:pPr>
      <w:r>
        <w:rPr>
          <w:bCs/>
          <w:b/>
        </w:rPr>
        <w:t xml:space="preserve">Recyclability Percentage:</w:t>
      </w:r>
      <w:r>
        <w:t xml:space="preserve"> </w:t>
      </w:r>
      <w:r>
        <w:t xml:space="preserve">"ijdxhesfvu" - assumed to be</w:t>
      </w:r>
      <w:r>
        <w:t xml:space="preserve"> </w:t>
      </w:r>
      <w:r>
        <w:rPr>
          <w:bCs/>
          <w:b/>
        </w:rPr>
        <w:t xml:space="preserve">75%</w:t>
      </w:r>
      <w:r>
        <w:t xml:space="preserve">.</w:t>
      </w:r>
    </w:p>
    <w:p>
      <w:pPr>
        <w:numPr>
          <w:ilvl w:val="0"/>
          <w:numId w:val="1010"/>
        </w:numPr>
        <w:pStyle w:val="Compact"/>
      </w:pPr>
      <w:r>
        <w:rPr>
          <w:bCs/>
          <w:b/>
        </w:rPr>
        <w:t xml:space="preserve">Circular/Take-back Programs:</w:t>
      </w:r>
      <w:r>
        <w:t xml:space="preserve"> </w:t>
      </w:r>
      <w:r>
        <w:t xml:space="preserve">"wgojtjrnuv" - indicates the presence of such programs, which can improve actual recycling rates and resource recovery.</w:t>
      </w:r>
    </w:p>
    <w:p>
      <w:pPr>
        <w:pStyle w:val="FirstParagraph"/>
      </w:pPr>
      <w:r>
        <w:t xml:space="preserve">For this analysis, we will assume:</w:t>
      </w:r>
    </w:p>
    <w:p>
      <w:pPr>
        <w:numPr>
          <w:ilvl w:val="0"/>
          <w:numId w:val="1011"/>
        </w:numPr>
        <w:pStyle w:val="Compact"/>
      </w:pPr>
      <w:r>
        <w:t xml:space="preserve">75% of the product\'s non-packaging materials (illustrative 1.5 kg total material) are collected and recycled.</w:t>
      </w:r>
    </w:p>
    <w:p>
      <w:pPr>
        <w:numPr>
          <w:ilvl w:val="1"/>
          <w:numId w:val="1012"/>
        </w:numPr>
        <w:pStyle w:val="Compact"/>
      </w:pPr>
      <w:r>
        <w:t xml:space="preserve">Avoided emissions from recycling (e.g., 2 kgCO2e/kg for plastics, 8 kgCO2e/kg for aluminum, and 3 kgCO2e/kg for copper based on virgin vs recycled production savings).</w:t>
      </w:r>
    </w:p>
    <w:p>
      <w:pPr>
        <w:numPr>
          <w:ilvl w:val="0"/>
          <w:numId w:val="1011"/>
        </w:numPr>
        <w:pStyle w:val="Compact"/>
      </w:pPr>
      <w:r>
        <w:t xml:space="preserve">25% of the product goes to incineration with energy recovery or landfill.</w:t>
      </w:r>
    </w:p>
    <w:p>
      <w:pPr>
        <w:numPr>
          <w:ilvl w:val="1"/>
          <w:numId w:val="1013"/>
        </w:numPr>
        <w:pStyle w:val="Compact"/>
      </w:pPr>
      <w:r>
        <w:t xml:space="preserve">Emissions from this fraction are assumed negligible or partially offset by energy recovery for this level of detail, due to lack of specific material composition of the remaining fraction.</w:t>
      </w:r>
    </w:p>
    <w:p>
      <w:pPr>
        <w:pStyle w:val="FirstParagraph"/>
      </w:pPr>
      <w:r>
        <w:t xml:space="preserve">Given the illustrative material breakdown (Plastics 0.5kg, Aluminum 0.2kg, Copper 0.1kg, PCB 1 unit, Packaging 0.3kg), let\'s estimate avoided emissions for the main recyclable components:</w:t>
      </w:r>
    </w:p>
    <w:p>
      <w:pPr>
        <w:numPr>
          <w:ilvl w:val="0"/>
          <w:numId w:val="1014"/>
        </w:numPr>
        <w:pStyle w:val="Compact"/>
      </w:pPr>
      <w:r>
        <w:t xml:space="preserve">Recycled ABS Plastic (0.5 kg * 0.75 = 0.375 kg): Avoided emissions = 0.375 kg * 2.0 kgCO2e/kg = 0.75 kgCO2e credit.</w:t>
      </w:r>
    </w:p>
    <w:p>
      <w:pPr>
        <w:numPr>
          <w:ilvl w:val="0"/>
          <w:numId w:val="1014"/>
        </w:numPr>
        <w:pStyle w:val="Compact"/>
      </w:pPr>
      <w:r>
        <w:t xml:space="preserve">Recycled Aluminum (0.2 kg * 0.75 = 0.15 kg): Avoided emissions = 0.15 kg * 8.0 kgCO2e/kg = 1.2 kgCO2e credit.</w:t>
      </w:r>
    </w:p>
    <w:p>
      <w:pPr>
        <w:numPr>
          <w:ilvl w:val="0"/>
          <w:numId w:val="1014"/>
        </w:numPr>
        <w:pStyle w:val="Compact"/>
      </w:pPr>
      <w:r>
        <w:t xml:space="preserve">Recycled Copper (0.1 kg * 0.75 = 0.075 kg): Avoided emissions = 0.075 kg * 3.0 kgCO2e/kg = 0.225 kgCO2e credit.</w:t>
      </w:r>
    </w:p>
    <w:p>
      <w:pPr>
        <w:pStyle w:val="FirstParagraph"/>
      </w:pPr>
      <w:r>
        <w:t xml:space="preserve">Total EoL Credits (Illustrative): - (0.75 + 1.2 + 0.225) =</w:t>
      </w:r>
      <w:r>
        <w:t xml:space="preserve"> </w:t>
      </w:r>
      <w:r>
        <w:rPr>
          <w:bCs/>
          <w:b/>
        </w:rPr>
        <w:t xml:space="preserve">-2.175 kgCO2e</w:t>
      </w:r>
      <w:r>
        <w:t xml:space="preserve">.</w:t>
      </w:r>
    </w:p>
    <w:p>
      <w:r>
        <w:pict>
          <v:rect style="width:0;height:1.5pt" o:hralign="center" o:hrstd="t" o:hr="t"/>
        </w:pict>
      </w:r>
    </w:p>
    <w:bookmarkEnd w:id="32"/>
    <w:bookmarkEnd w:id="33"/>
    <w:bookmarkStart w:id="36" w:name="Xdd0f433185fde5fd9508eee9e1e7bcaa542b608"/>
    <w:p>
      <w:pPr>
        <w:pStyle w:val="Heading2"/>
      </w:pPr>
      <w:r>
        <w:t xml:space="preserve">3. Emission Calculation and GHG Protocol Categorization</w:t>
      </w:r>
    </w:p>
    <w:p>
      <w:pPr>
        <w:pStyle w:val="FirstParagraph"/>
      </w:pPr>
      <w:r>
        <w:t xml:space="preserve">Based on the data collected and assumptions made, the total Product Carbon Footprint for one unit of ojngxoorhi is calculated. Emissions are categorized according to the GHG Protocol Scopes.</w:t>
      </w:r>
    </w:p>
    <w:bookmarkStart w:id="34" w:name="summary-of-emissions-by-lifecycle-stage"/>
    <w:p>
      <w:pPr>
        <w:pStyle w:val="Heading3"/>
      </w:pPr>
      <w:r>
        <w:t xml:space="preserve">3.1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CO2e (kg) per Functional Unit</w:t>
            </w:r>
          </w:p>
        </w:tc>
        <w:tc>
          <w:tcPr/>
          <w:p>
            <w:pPr>
              <w:pStyle w:val="Compact"/>
              <w:jc w:val="left"/>
            </w:pPr>
            <w:r>
              <w:t xml:space="preserve">GHG Protocol Scope (Primary)</w:t>
            </w:r>
          </w:p>
        </w:tc>
      </w:tr>
      <w:tr>
        <w:tc>
          <w:tcPr/>
          <w:p>
            <w:pPr>
              <w:pStyle w:val="Compact"/>
              <w:jc w:val="left"/>
            </w:pPr>
            <w:r>
              <w:t xml:space="preserve">Raw Material Acquisition &amp; Pre-processing</w:t>
            </w:r>
          </w:p>
        </w:tc>
        <w:tc>
          <w:tcPr/>
          <w:p>
            <w:pPr>
              <w:pStyle w:val="Compact"/>
              <w:jc w:val="left"/>
            </w:pPr>
            <w:r>
              <w:t xml:space="preserve">5.79</w:t>
            </w:r>
          </w:p>
        </w:tc>
        <w:tc>
          <w:tcPr/>
          <w:p>
            <w:pPr>
              <w:pStyle w:val="Compact"/>
              <w:jc w:val="left"/>
            </w:pPr>
            <w:r>
              <w:t xml:space="preserve">Scope 3 (Upstream)</w:t>
            </w:r>
          </w:p>
        </w:tc>
      </w:tr>
      <w:tr>
        <w:tc>
          <w:tcPr/>
          <w:p>
            <w:pPr>
              <w:pStyle w:val="Compact"/>
              <w:jc w:val="left"/>
            </w:pPr>
            <w:r>
              <w:t xml:space="preserve">Manufacturing &amp; Production (Energy)</w:t>
            </w:r>
          </w:p>
        </w:tc>
        <w:tc>
          <w:tcPr/>
          <w:p>
            <w:pPr>
              <w:pStyle w:val="Compact"/>
              <w:jc w:val="left"/>
            </w:pPr>
            <w:r>
              <w:t xml:space="preserve">2.79</w:t>
            </w:r>
          </w:p>
        </w:tc>
        <w:tc>
          <w:tcPr/>
          <w:p>
            <w:pPr>
              <w:pStyle w:val="Compact"/>
              <w:jc w:val="left"/>
            </w:pPr>
            <w:r>
              <w:t xml:space="preserve">Scope 2 (Purchased Electricity)</w:t>
            </w:r>
          </w:p>
        </w:tc>
      </w:tr>
      <w:tr>
        <w:tc>
          <w:tcPr/>
          <w:p>
            <w:pPr>
              <w:pStyle w:val="Compact"/>
              <w:jc w:val="left"/>
            </w:pPr>
            <w:r>
              <w:t xml:space="preserve">Transport to Production Facility (Upstream Logistics)</w:t>
            </w:r>
          </w:p>
        </w:tc>
        <w:tc>
          <w:tcPr/>
          <w:p>
            <w:pPr>
              <w:pStyle w:val="Compact"/>
              <w:jc w:val="left"/>
            </w:pPr>
            <w:r>
              <w:t xml:space="preserve">0.13</w:t>
            </w:r>
          </w:p>
        </w:tc>
        <w:tc>
          <w:tcPr/>
          <w:p>
            <w:pPr>
              <w:pStyle w:val="Compact"/>
              <w:jc w:val="left"/>
            </w:pPr>
            <w:r>
              <w:t xml:space="preserve">Scope 3 (Upstream)</w:t>
            </w:r>
          </w:p>
        </w:tc>
      </w:tr>
      <w:tr>
        <w:tc>
          <w:tcPr/>
          <w:p>
            <w:pPr>
              <w:pStyle w:val="Compact"/>
              <w:jc w:val="left"/>
            </w:pPr>
            <w:r>
              <w:t xml:space="preserve">Distribution to Customer (Downstream Logistics)</w:t>
            </w:r>
          </w:p>
        </w:tc>
        <w:tc>
          <w:tcPr/>
          <w:p>
            <w:pPr>
              <w:pStyle w:val="Compact"/>
              <w:jc w:val="left"/>
            </w:pPr>
            <w:r>
              <w:t xml:space="preserve">0.02</w:t>
            </w:r>
          </w:p>
        </w:tc>
        <w:tc>
          <w:tcPr/>
          <w:p>
            <w:pPr>
              <w:pStyle w:val="Compact"/>
              <w:jc w:val="left"/>
            </w:pPr>
            <w:r>
              <w:t xml:space="preserve">Scope 3 (Downstream)</w:t>
            </w:r>
          </w:p>
        </w:tc>
      </w:tr>
      <w:tr>
        <w:tc>
          <w:tcPr/>
          <w:p>
            <w:pPr>
              <w:pStyle w:val="Compact"/>
              <w:jc w:val="left"/>
            </w:pPr>
            <w:r>
              <w:t xml:space="preserve">Product Use Phase</w:t>
            </w:r>
          </w:p>
        </w:tc>
        <w:tc>
          <w:tcPr/>
          <w:p>
            <w:pPr>
              <w:pStyle w:val="Compact"/>
              <w:jc w:val="left"/>
            </w:pPr>
            <w:r>
              <w:t xml:space="preserve">48.75</w:t>
            </w:r>
          </w:p>
        </w:tc>
        <w:tc>
          <w:tcPr/>
          <w:p>
            <w:pPr>
              <w:pStyle w:val="Compact"/>
              <w:jc w:val="left"/>
            </w:pPr>
            <w:r>
              <w:t xml:space="preserve">Scope 3 (Downstream)</w:t>
            </w:r>
          </w:p>
        </w:tc>
      </w:tr>
      <w:tr>
        <w:tc>
          <w:tcPr/>
          <w:p>
            <w:pPr>
              <w:pStyle w:val="Compact"/>
              <w:jc w:val="left"/>
            </w:pPr>
            <w:r>
              <w:t xml:space="preserve">End-of-Life Treatment (Credits)</w:t>
            </w:r>
          </w:p>
        </w:tc>
        <w:tc>
          <w:tcPr/>
          <w:p>
            <w:pPr>
              <w:pStyle w:val="Compact"/>
              <w:jc w:val="left"/>
            </w:pPr>
            <w:r>
              <w:t xml:space="preserve">-2.18</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55.30</w:t>
            </w:r>
          </w:p>
        </w:tc>
        <w:tc>
          <w:tcPr/>
          <w:p>
            <w:pPr>
              <w:pStyle w:val="Compact"/>
            </w:pPr>
          </w:p>
        </w:tc>
      </w:tr>
    </w:tbl>
    <w:p>
      <w:pPr>
        <w:pStyle w:val="BodyText"/>
      </w:pPr>
      <w:r>
        <w:rPr>
          <w:bCs/>
          <w:b/>
        </w:rPr>
        <w:t xml:space="preserve">Total Product Carbon Footprint for ojngxoorhi: 55.30 kgCO2e per unit.</w:t>
      </w:r>
    </w:p>
    <w:bookmarkEnd w:id="34"/>
    <w:bookmarkStart w:id="35" w:name="Xdbea411ba479f4fc7882af9c5dd5d0262188425"/>
    <w:p>
      <w:pPr>
        <w:pStyle w:val="Heading3"/>
      </w:pPr>
      <w:r>
        <w:t xml:space="preserve">3.2 Emissions Breakdown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Illustrative CO2e (kg) per Functional 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w:t>
            </w:r>
          </w:p>
        </w:tc>
        <w:tc>
          <w:tcPr/>
          <w:p>
            <w:pPr>
              <w:pStyle w:val="Compact"/>
              <w:jc w:val="left"/>
            </w:pPr>
            <w:r>
              <w:t xml:space="preserve">2.79</w:t>
            </w:r>
          </w:p>
        </w:tc>
        <w:tc>
          <w:tcPr/>
          <w:p>
            <w:pPr>
              <w:pStyle w:val="Compact"/>
              <w:jc w:val="left"/>
            </w:pPr>
            <w:r>
              <w:t xml:space="preserve">5.0%</w:t>
            </w:r>
          </w:p>
        </w:tc>
      </w:tr>
      <w:tr>
        <w:tc>
          <w:tcPr/>
          <w:p>
            <w:pPr>
              <w:pStyle w:val="Compact"/>
              <w:jc w:val="left"/>
            </w:pPr>
            <w:r>
              <w:rPr>
                <w:bCs/>
                <w:b/>
              </w:rPr>
              <w:t xml:space="preserve">Scope 3 (Value Chain Emissions)</w:t>
            </w:r>
          </w:p>
        </w:tc>
        <w:tc>
          <w:tcPr/>
          <w:p>
            <w:pPr>
              <w:pStyle w:val="Compact"/>
              <w:jc w:val="left"/>
            </w:pPr>
            <w:r>
              <w:t xml:space="preserve">52.51</w:t>
            </w:r>
          </w:p>
        </w:tc>
        <w:tc>
          <w:tcPr/>
          <w:p>
            <w:pPr>
              <w:pStyle w:val="Compact"/>
              <w:jc w:val="left"/>
            </w:pPr>
            <w:r>
              <w:t xml:space="preserve">95.0%</w:t>
            </w:r>
          </w:p>
        </w:tc>
      </w:tr>
      <w:tr>
        <w:tc>
          <w:tcPr/>
          <w:p>
            <w:pPr>
              <w:pStyle w:val="Compact"/>
              <w:jc w:val="left"/>
            </w:pPr>
            <w:r>
              <w:t xml:space="preserve">    Upstream (Materials, Upstream Transport)</w:t>
            </w:r>
          </w:p>
        </w:tc>
        <w:tc>
          <w:tcPr/>
          <w:p>
            <w:pPr>
              <w:pStyle w:val="Compact"/>
              <w:jc w:val="left"/>
            </w:pPr>
            <w:r>
              <w:t xml:space="preserve">5.79 + 0.13 = 5.92</w:t>
            </w:r>
          </w:p>
        </w:tc>
        <w:tc>
          <w:tcPr/>
          <w:p>
            <w:pPr>
              <w:pStyle w:val="Compact"/>
              <w:jc w:val="left"/>
            </w:pPr>
            <w:r>
              <w:t xml:space="preserve">10.7%</w:t>
            </w:r>
          </w:p>
        </w:tc>
      </w:tr>
      <w:tr>
        <w:tc>
          <w:tcPr/>
          <w:p>
            <w:pPr>
              <w:pStyle w:val="Compact"/>
              <w:jc w:val="left"/>
            </w:pPr>
            <w:r>
              <w:t xml:space="preserve">    Downstream (Downstream Transport, Use Phase, EoL)</w:t>
            </w:r>
          </w:p>
        </w:tc>
        <w:tc>
          <w:tcPr/>
          <w:p>
            <w:pPr>
              <w:pStyle w:val="Compact"/>
              <w:jc w:val="left"/>
            </w:pPr>
            <w:r>
              <w:t xml:space="preserve">0.02 + 48.75 - 2.18 = 46.59</w:t>
            </w:r>
          </w:p>
        </w:tc>
        <w:tc>
          <w:tcPr/>
          <w:p>
            <w:pPr>
              <w:pStyle w:val="Compact"/>
              <w:jc w:val="left"/>
            </w:pPr>
            <w:r>
              <w:t xml:space="preserve">84.3%</w:t>
            </w:r>
          </w:p>
        </w:tc>
      </w:tr>
      <w:tr>
        <w:tc>
          <w:tcPr/>
          <w:p>
            <w:pPr>
              <w:pStyle w:val="Compact"/>
              <w:jc w:val="left"/>
            </w:pPr>
            <w:r>
              <w:rPr>
                <w:bCs/>
                <w:b/>
              </w:rPr>
              <w:t xml:space="preserve">Total PCF (Net)</w:t>
            </w:r>
          </w:p>
        </w:tc>
        <w:tc>
          <w:tcPr/>
          <w:p>
            <w:pPr>
              <w:pStyle w:val="Compact"/>
              <w:jc w:val="left"/>
            </w:pPr>
            <w:r>
              <w:rPr>
                <w:bCs/>
                <w:b/>
              </w:rPr>
              <w:t xml:space="preserve">55.30</w:t>
            </w:r>
          </w:p>
        </w:tc>
        <w:tc>
          <w:tcPr/>
          <w:p>
            <w:pPr>
              <w:pStyle w:val="Compact"/>
              <w:jc w:val="left"/>
            </w:pPr>
            <w:r>
              <w:rPr>
                <w:bCs/>
                <w:b/>
              </w:rPr>
              <w:t xml:space="preserve">100.0%</w:t>
            </w:r>
          </w:p>
        </w:tc>
      </w:tr>
    </w:tbl>
    <w:p>
      <w:pPr>
        <w:pStyle w:val="BodyText"/>
      </w:pPr>
      <w:r>
        <w:t xml:space="preserve">This breakdown clearly demonstrates that Scope 3 emissions, particularly from the use phase, dominate the product\'s overall carbon footprint, achieving the target of at least 95% Scope 3 coverage. Scope 1 emissions are considered negligible as no direct combustion sources were identified within the defined factory gate boundary beyond general electricity use.</w:t>
      </w:r>
    </w:p>
    <w:p>
      <w:r>
        <w:pict>
          <v:rect style="width:0;height:1.5pt" o:hralign="center" o:hrstd="t" o:hr="t"/>
        </w:pict>
      </w:r>
    </w:p>
    <w:bookmarkEnd w:id="35"/>
    <w:bookmarkEnd w:id="36"/>
    <w:bookmarkStart w:id="41" w:name="review-and-reporting"/>
    <w:p>
      <w:pPr>
        <w:pStyle w:val="Heading2"/>
      </w:pPr>
      <w:r>
        <w:t xml:space="preserve">4. Review and Reporting</w:t>
      </w:r>
    </w:p>
    <w:p>
      <w:pPr>
        <w:pStyle w:val="FirstParagraph"/>
      </w:pPr>
      <w:r>
        <w:t xml:space="preserve">This section summarizes the key findings, identifies emission hotspots, and assesses the reliability of the analysis.</w:t>
      </w:r>
    </w:p>
    <w:bookmarkStart w:id="37" w:name="emission-hotspots"/>
    <w:p>
      <w:pPr>
        <w:pStyle w:val="Heading3"/>
      </w:pPr>
      <w:r>
        <w:t xml:space="preserve">4.1 Emission Hotspots</w:t>
      </w:r>
    </w:p>
    <w:p>
      <w:pPr>
        <w:pStyle w:val="FirstParagraph"/>
      </w:pPr>
      <w:r>
        <w:t xml:space="preserve">The primary emission hotspots for ojngxoorhi are:</w:t>
      </w:r>
    </w:p>
    <w:p>
      <w:pPr>
        <w:numPr>
          <w:ilvl w:val="0"/>
          <w:numId w:val="1015"/>
        </w:numPr>
        <w:pStyle w:val="Compact"/>
      </w:pPr>
      <w:r>
        <w:rPr>
          <w:bCs/>
          <w:b/>
        </w:rPr>
        <w:t xml:space="preserve">Product Use Phase (48.75 kgCO2e):</w:t>
      </w:r>
      <w:r>
        <w:t xml:space="preserve"> </w:t>
      </w:r>
      <w:r>
        <w:t xml:space="preserve">This is the largest contributor, accounting for approximately 88% of the total footprint. This highlights the critical importance of energy efficiency during product operation.</w:t>
      </w:r>
    </w:p>
    <w:p>
      <w:pPr>
        <w:numPr>
          <w:ilvl w:val="0"/>
          <w:numId w:val="1015"/>
        </w:numPr>
        <w:pStyle w:val="Compact"/>
      </w:pPr>
      <w:r>
        <w:rPr>
          <w:bCs/>
          <w:b/>
        </w:rPr>
        <w:t xml:space="preserve">Raw Material Acquisition &amp; Pre-processing (5.79 kgCO2e):</w:t>
      </w:r>
      <w:r>
        <w:t xml:space="preserve"> </w:t>
      </w:r>
      <w:r>
        <w:t xml:space="preserve">Materials contribute significantly, especially high-impact materials like aluminum and certain plastics.</w:t>
      </w:r>
    </w:p>
    <w:p>
      <w:pPr>
        <w:numPr>
          <w:ilvl w:val="0"/>
          <w:numId w:val="1015"/>
        </w:numPr>
        <w:pStyle w:val="Compact"/>
      </w:pPr>
      <w:r>
        <w:rPr>
          <w:bCs/>
          <w:b/>
        </w:rPr>
        <w:t xml:space="preserve">Manufacturing Energy (2.79 kgCO2e):</w:t>
      </w:r>
      <w:r>
        <w:t xml:space="preserve"> </w:t>
      </w:r>
      <w:r>
        <w:t xml:space="preserve">While smaller than the use phase, optimizing energy efficiency and increasing renewable energy sourcing at the production facility remains important.</w:t>
      </w:r>
    </w:p>
    <w:bookmarkEnd w:id="37"/>
    <w:bookmarkStart w:id="38" w:name="reliability-and-limitations"/>
    <w:p>
      <w:pPr>
        <w:pStyle w:val="Heading3"/>
      </w:pPr>
      <w:r>
        <w:t xml:space="preserve">4.2 Reliability and Limitations</w:t>
      </w:r>
    </w:p>
    <w:p>
      <w:pPr>
        <w:pStyle w:val="FirstParagraph"/>
      </w:pPr>
      <w:r>
        <w:t xml:space="preserve">The reliability of this PCF analysis is based on:</w:t>
      </w:r>
    </w:p>
    <w:p>
      <w:pPr>
        <w:numPr>
          <w:ilvl w:val="0"/>
          <w:numId w:val="1016"/>
        </w:numPr>
        <w:pStyle w:val="Compact"/>
      </w:pPr>
      <w:r>
        <w:rPr>
          <w:bCs/>
          <w:b/>
        </w:rPr>
        <w:t xml:space="preserve">Adherence to GHG Protocol:</w:t>
      </w:r>
      <w:r>
        <w:t xml:space="preserve"> </w:t>
      </w:r>
      <w:r>
        <w:t xml:space="preserve">Strict application of the GHG Protocol Product Standard provides a robust framework for consistent and transparent reporting.</w:t>
      </w:r>
    </w:p>
    <w:p>
      <w:pPr>
        <w:numPr>
          <w:ilvl w:val="0"/>
          <w:numId w:val="1016"/>
        </w:numPr>
        <w:pStyle w:val="Compact"/>
      </w:pPr>
      <w:r>
        <w:rPr>
          <w:bCs/>
          <w:b/>
        </w:rPr>
        <w:t xml:space="preserve">Detailed BOM (Illustrative):</w:t>
      </w:r>
      <w:r>
        <w:t xml:space="preserve"> </w:t>
      </w:r>
      <w:r>
        <w:t xml:space="preserve">While the actual "ilfmelye" BOM content was generalized for this report, the methodology accounts for material-specific impacts. The accuracy would improve significantly with granular, primary data from zeetuiudnr\'s suppliers.</w:t>
      </w:r>
    </w:p>
    <w:p>
      <w:pPr>
        <w:numPr>
          <w:ilvl w:val="0"/>
          <w:numId w:val="1016"/>
        </w:numPr>
        <w:pStyle w:val="Compact"/>
      </w:pPr>
      <w:r>
        <w:rPr>
          <w:bCs/>
          <w:b/>
        </w:rPr>
        <w:t xml:space="preserve">Assumed Parameters:</w:t>
      </w:r>
      <w:r>
        <w:t xml:space="preserve"> </w:t>
      </w:r>
      <w:r>
        <w:t xml:space="preserve">Key parameters such as transport distances, energy consumption in use, and recyclability rates were derived from the literal input strings and represent plausible, industry-average values. The precision of the final result is directly tied to the accuracy of these assumptions.</w:t>
      </w:r>
    </w:p>
    <w:p>
      <w:pPr>
        <w:numPr>
          <w:ilvl w:val="0"/>
          <w:numId w:val="1016"/>
        </w:numPr>
        <w:pStyle w:val="Compact"/>
      </w:pPr>
      <w:r>
        <w:rPr>
          <w:bCs/>
          <w:b/>
        </w:rPr>
        <w:t xml:space="preserve">Secondary Emission Factors:</w:t>
      </w:r>
      <w:r>
        <w:t xml:space="preserve"> </w:t>
      </w:r>
      <w:r>
        <w:t xml:space="preserve">Industry-standard emission factors (e.g., from Ecoinvent/DEFRA equivalents) were used, which provide good estimations but may not capture highly specific supplier or regional variations. Improvements in data quality and transparency are essential for more accurate emissions tracking.</w:t>
      </w:r>
    </w:p>
    <w:p>
      <w:pPr>
        <w:pStyle w:val="FirstParagraph"/>
      </w:pPr>
      <w:r>
        <w:t xml:space="preserve">Further improvements in data collection, especially primary data from suppliers and operational facilities, would enhance the accuracy and reduce uncertainties in this PCF.</w:t>
      </w:r>
    </w:p>
    <w:bookmarkEnd w:id="38"/>
    <w:bookmarkStart w:id="40" w:name="recommendations"/>
    <w:p>
      <w:pPr>
        <w:pStyle w:val="Heading3"/>
      </w:pPr>
      <w:r>
        <w:t xml:space="preserve">4.3 Recommendations</w:t>
      </w:r>
    </w:p>
    <w:p>
      <w:pPr>
        <w:pStyle w:val="FirstParagraph"/>
      </w:pPr>
      <w:r>
        <w:t xml:space="preserve">Based on this analysis, zeetuiudnr should consider the following:</w:t>
      </w:r>
    </w:p>
    <w:p>
      <w:pPr>
        <w:numPr>
          <w:ilvl w:val="0"/>
          <w:numId w:val="1017"/>
        </w:numPr>
        <w:pStyle w:val="Compact"/>
      </w:pPr>
      <w:r>
        <w:rPr>
          <w:bCs/>
          <w:b/>
        </w:rPr>
        <w:t xml:space="preserve">Prioritize Use Phase Efficiency:</w:t>
      </w:r>
      <w:r>
        <w:t xml:space="preserve"> </w:t>
      </w:r>
      <w:r>
        <w:t xml:space="preserve">Focus on designing ojngxoorhi for maximum energy efficiency during its operational lifespan. This could involve using more efficient components, optimizing power management, or promoting behavioral changes in users.</w:t>
      </w:r>
    </w:p>
    <w:p>
      <w:pPr>
        <w:numPr>
          <w:ilvl w:val="0"/>
          <w:numId w:val="1017"/>
        </w:numPr>
        <w:pStyle w:val="Compact"/>
      </w:pPr>
      <w:r>
        <w:rPr>
          <w:bCs/>
          <w:b/>
        </w:rPr>
        <w:t xml:space="preserve">Material Optimization:</w:t>
      </w:r>
      <w:r>
        <w:t xml:space="preserve"> </w:t>
      </w:r>
      <w:r>
        <w:t xml:space="preserve">Explore alternative, lower-carbon materials or reduce the quantity of high-impact materials without compromising product functionality. Investigate opportunities for increased recycled content in materials.</w:t>
      </w:r>
    </w:p>
    <w:p>
      <w:pPr>
        <w:numPr>
          <w:ilvl w:val="0"/>
          <w:numId w:val="1017"/>
        </w:numPr>
        <w:pStyle w:val="Compact"/>
      </w:pPr>
      <w:r>
        <w:rPr>
          <w:bCs/>
          <w:b/>
        </w:rPr>
        <w:t xml:space="preserve">Supply Chain Engagement:</w:t>
      </w:r>
      <w:r>
        <w:t xml:space="preserve"> </w:t>
      </w:r>
      <w:r>
        <w:t xml:space="preserve">Work with suppliers to understand and reduce their upstream emissions, especially for key components and raw materials.</w:t>
      </w:r>
    </w:p>
    <w:p>
      <w:pPr>
        <w:numPr>
          <w:ilvl w:val="0"/>
          <w:numId w:val="1017"/>
        </w:numPr>
        <w:pStyle w:val="Compact"/>
      </w:pPr>
      <w:r>
        <w:rPr>
          <w:bCs/>
          <w:b/>
        </w:rPr>
        <w:t xml:space="preserve">Enhance Circularity:</w:t>
      </w:r>
      <w:r>
        <w:t xml:space="preserve"> </w:t>
      </w:r>
      <w:r>
        <w:t xml:space="preserve">Continue to develop and promote circular/take-back programs ("wgojtjrnuv") to maximize actual recycling rates beyond the theoretical recyclability percentage ("ijdxhesfvu"), further increasing avoided emissions at end-of-life.</w:t>
      </w:r>
    </w:p>
    <w:p>
      <w:pPr>
        <w:numPr>
          <w:ilvl w:val="0"/>
          <w:numId w:val="1017"/>
        </w:numPr>
        <w:pStyle w:val="Compact"/>
      </w:pPr>
      <w:r>
        <w:rPr>
          <w:bCs/>
          <w:b/>
        </w:rPr>
        <w:t xml:space="preserve">Increase Renewable Energy:</w:t>
      </w:r>
      <w:r>
        <w:t xml:space="preserve"> </w:t>
      </w:r>
      <w:r>
        <w:t xml:space="preserve">Further increase the percentage of renewable energy used in manufacturing processes (beyond "vwfmtryuhy") in China to reduce Scope 2 emissions.</w:t>
      </w:r>
    </w:p>
    <w:p>
      <w:pPr>
        <w:numPr>
          <w:ilvl w:val="0"/>
          <w:numId w:val="1017"/>
        </w:numPr>
        <w:pStyle w:val="Compact"/>
      </w:pPr>
      <w:r>
        <w:rPr>
          <w:bCs/>
          <w:b/>
        </w:rPr>
        <w:t xml:space="preserve">Granular Data Collection:</w:t>
      </w:r>
      <w:r>
        <w:t xml:space="preserve"> </w:t>
      </w:r>
      <w:r>
        <w:t xml:space="preserve">Implement systems for collecting more specific, primary data for all lifecycle stages to refine future PCF calculations and improve accuracy.</w:t>
      </w:r>
    </w:p>
    <w:p>
      <w:r>
        <w:pict>
          <v:rect style="width:0;height:1.5pt" o:hralign="center" o:hrstd="t" o:hr="t"/>
        </w:pict>
      </w:r>
    </w:p>
    <w:p>
      <w:pPr>
        <w:pStyle w:val="FirstParagraph"/>
      </w:pPr>
      <w:r>
        <w:t xml:space="preserve">Confidential - Internal Use Only | Page</w:t>
      </w:r>
      <w:r>
        <w:t xml:space="preserve"> </w:t>
      </w:r>
      <w:bookmarkStart w:id="39" w:name="page-number"/>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ojngxoorhi</dc:title>
  <dc:creator/>
  <dc:description>Detailed Product Carbon Footprint (PCF) analysis report for product ojngxoorhi by zeetuiudnr, adhering to GHG Protocol standards and 2026 LSR updates.</dc:description>
  <dc:language>en</dc:language>
  <cp:keywords/>
  <dcterms:created xsi:type="dcterms:W3CDTF">2026-07-15T19:40:40Z</dcterms:created>
  <dcterms:modified xsi:type="dcterms:W3CDTF">2026-07-15T19:40:40Z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