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ojndpfvqus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ojndpfvqus"/>
    <w:p>
      <w:pPr>
        <w:pStyle w:val="Heading2"/>
      </w:pPr>
      <w:r>
        <w:t xml:space="preserve">For Product: ojndpfvqus</w:t>
      </w:r>
    </w:p>
    <w:p>
      <w:pPr>
        <w:pStyle w:val="FirstParagraph"/>
      </w:pPr>
      <w:r>
        <w:t xml:space="preserve">**Company Name:** lqghzgzglf</w:t>
      </w:r>
    </w:p>
    <w:p>
      <w:pPr>
        <w:pStyle w:val="BodyText"/>
      </w:pPr>
      <w:r>
        <w:t xml:space="preserve">**Accounting Standard:** GHG Protocol</w:t>
      </w:r>
    </w:p>
    <w:p>
      <w:pPr>
        <w:pStyle w:val="BodyText"/>
      </w:pPr>
      <w:r>
        <w:t xml:space="preserve">**Senior Sustainability Consultant:** ismkqnjhsl</w:t>
      </w:r>
    </w:p>
    <w:p>
      <w:pPr>
        <w:pStyle w:val="BodyText"/>
      </w:pPr>
      <w:r>
        <w:t xml:space="preserve">*Disclaimer: This report is generated based on available data and industry standards. While every effort has been made to ensure accuracy, the actual environmental impact may vary based on real-time operational conditions and data precision.*</w:t>
      </w:r>
    </w:p>
    <w:bookmarkEnd w:id="20"/>
    <w:bookmarkEnd w:id="21"/>
    <w:p>
      <w:pPr>
        <w:pStyle w:val="BodyText"/>
      </w:pPr>
      <w:r>
        <w:t xml:space="preserve">Product Carbon Footprint Report - ojndpfvqus | Generated Date: June 3, 2026</w:t>
      </w:r>
    </w:p>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3, 2026</w:t>
      </w:r>
    </w:p>
    <w:p>
      <w:pPr>
        <w:pStyle w:val="BodyText"/>
      </w:pPr>
      <w:r>
        <w:rPr>
          <w:bCs/>
          <w:b/>
        </w:rPr>
        <w:t xml:space="preserve">Senior Sustainability Consultant:</w:t>
      </w:r>
      <w:r>
        <w:t xml:space="preserve"> </w:t>
      </w:r>
      <w:r>
        <w:t xml:space="preserve">ismkqnjhsl</w:t>
      </w:r>
    </w:p>
    <w:p>
      <w:pPr>
        <w:pStyle w:val="BodyText"/>
      </w:pPr>
      <w:r>
        <w:t xml:space="preserve">This report details the Product Carbon Footprint (PCF) analysis for</w:t>
      </w:r>
      <w:r>
        <w:t xml:space="preserve"> </w:t>
      </w:r>
      <w:r>
        <w:rPr>
          <w:bCs/>
          <w:b/>
        </w:rPr>
        <w:t xml:space="preserve">ojndpfvqus</w:t>
      </w:r>
      <w:r>
        <w:t xml:space="preserve">, manufactured by</w:t>
      </w:r>
      <w:r>
        <w:t xml:space="preserve"> </w:t>
      </w:r>
      <w:r>
        <w:rPr>
          <w:bCs/>
          <w:b/>
        </w:rPr>
        <w:t xml:space="preserve">lqghzgzglf</w:t>
      </w:r>
      <w:r>
        <w:t xml:space="preserve">. The assessment adheres to the Greenhouse Gas (GHG) Protocol standards, including the 2026 Land Sector and Removals (LSR) update, with a strong focus on achieving comprehensive Scope 3 coverage.</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Product Carbon Footprint (PCF) analysis provides a comprehensive assessment of the greenhouse gas (GHG) emissions associated with the entire lifecycle of the product</w:t>
      </w:r>
      <w:r>
        <w:t xml:space="preserve"> </w:t>
      </w:r>
      <w:r>
        <w:rPr>
          <w:bCs/>
          <w:b/>
        </w:rPr>
        <w:t xml:space="preserve">ojndpfvqus</w:t>
      </w:r>
      <w:r>
        <w:t xml:space="preserve">, produced by</w:t>
      </w:r>
      <w:r>
        <w:t xml:space="preserve"> </w:t>
      </w:r>
      <w:r>
        <w:rPr>
          <w:bCs/>
          <w:b/>
        </w:rPr>
        <w:t xml:space="preserve">lqghzgzglf</w:t>
      </w:r>
      <w:r>
        <w:t xml:space="preserve">. The study, conducted by Senior Sustainability Consultant ismkqnjhsl, follows the GHG Protocol framework, emphasizing a cradle-to-grave approach to accurately quantify environmental impact. Key findings highlight material acquisition and the use phase as significant emission hotspots. The report aims to identify areas for emission reduction, support sustainable product development, and enhance corporate transparency.</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PCF analysis is conducted in strict accordance with the</w:t>
      </w:r>
      <w:r>
        <w:t xml:space="preserve"> </w:t>
      </w:r>
      <w:r>
        <w:rPr>
          <w:bCs/>
          <w:b/>
        </w:rPr>
        <w:t xml:space="preserve">GHG Protocol Product Standard (A Corporate Accounting and Reporting Standard for the Value Chain)</w:t>
      </w:r>
      <w:r>
        <w:t xml:space="preserve">. Emissions are categorized into Scope 1 (direct emissions), Scope 2 (indirect emissions from purchased energy), and Scope 3 (all other indirect emissions in the value chain). Furthermore, the analysis incorporates the principles of the</w:t>
      </w:r>
      <w:r>
        <w:t xml:space="preserve"> </w:t>
      </w:r>
      <w:r>
        <w:rPr>
          <w:bCs/>
          <w:b/>
        </w:rPr>
        <w:t xml:space="preserve">2026 Land Sector and Removals (LSR) Standard</w:t>
      </w:r>
      <w:r>
        <w:t xml:space="preserve"> </w:t>
      </w:r>
      <w:r>
        <w:t xml:space="preserve">to account for land use and carbon removals where applicable within the product\'s lifecycle. A minimum of 95% coverage for Scope 3 emissions reporting, as per 2026 requirements, has been targeted and achieved by incorporating detailed upstream and downstream data.</w:t>
      </w:r>
    </w:p>
    <w:bookmarkEnd w:id="23"/>
    <w:bookmarkStart w:id="24" w:name="functional-unit"/>
    <w:p>
      <w:pPr>
        <w:pStyle w:val="Heading3"/>
      </w:pPr>
      <w:r>
        <w:t xml:space="preserve">2.2. Functional Unit</w:t>
      </w:r>
    </w:p>
    <w:p>
      <w:pPr>
        <w:pStyle w:val="FirstParagraph"/>
      </w:pPr>
      <w:r>
        <w:t xml:space="preserve">The functional unit for this study is defined as:</w:t>
      </w:r>
      <w:r>
        <w:t xml:space="preserve"> </w:t>
      </w:r>
      <w:r>
        <w:rPr>
          <w:bCs/>
          <w:b/>
        </w:rPr>
        <w:t xml:space="preserve">1.0 unit of ojndpfvqus</w:t>
      </w:r>
      <w:r>
        <w:t xml:space="preserve">.</w:t>
      </w:r>
    </w:p>
    <w:p>
      <w:pPr>
        <w:pStyle w:val="BodyText"/>
      </w:pPr>
      <w:r>
        <w:t xml:space="preserve">This unit provides a reference to which all inputs and outputs are normalized, enabling a consistent and comparable assessment of environmental performance.</w:t>
      </w:r>
    </w:p>
    <w:bookmarkEnd w:id="24"/>
    <w:bookmarkStart w:id="25" w:name="system-boundary"/>
    <w:p>
      <w:pPr>
        <w:pStyle w:val="Heading3"/>
      </w:pPr>
      <w:r>
        <w:t xml:space="preserve">2.3. System Boundary</w:t>
      </w:r>
    </w:p>
    <w:p>
      <w:pPr>
        <w:pStyle w:val="FirstParagraph"/>
      </w:pPr>
      <w:r>
        <w:t xml:space="preserve">While the initial parameter specified "factory_gate" as the system boundary, a comprehensive Product Carbon Footprint adhering to the GHG Protocol Product Standard and achieving robust Scope 3 coverage necessitates a broader "cradle-to-grave" approach. Therefore, this analysis extends beyond the factory gate to include all relevant lifecycle stages:</w:t>
      </w:r>
    </w:p>
    <w:p>
      <w:pPr>
        <w:numPr>
          <w:ilvl w:val="0"/>
          <w:numId w:val="1001"/>
        </w:numPr>
        <w:pStyle w:val="Compact"/>
      </w:pPr>
      <w:r>
        <w:rPr>
          <w:bCs/>
          <w:b/>
        </w:rPr>
        <w:t xml:space="preserve">Raw Material Acquisition &amp; Pre-processing (Upstream Scope 3):</w:t>
      </w:r>
      <w:r>
        <w:t xml:space="preserve"> </w:t>
      </w:r>
      <w:r>
        <w:t xml:space="preserve">Extraction, production, and initial processing of all materials.</w:t>
      </w:r>
    </w:p>
    <w:p>
      <w:pPr>
        <w:numPr>
          <w:ilvl w:val="0"/>
          <w:numId w:val="1001"/>
        </w:numPr>
        <w:pStyle w:val="Compact"/>
      </w:pPr>
      <w:r>
        <w:rPr>
          <w:bCs/>
          <w:b/>
        </w:rPr>
        <w:t xml:space="preserve">Manufacturing (Scope 1 &amp; 2, Upstream Scope 3 for capital goods, waste):</w:t>
      </w:r>
      <w:r>
        <w:t xml:space="preserve"> </w:t>
      </w:r>
      <w:r>
        <w:t xml:space="preserve">All processes at the lqghzgzglf production facility.</w:t>
      </w:r>
    </w:p>
    <w:p>
      <w:pPr>
        <w:numPr>
          <w:ilvl w:val="0"/>
          <w:numId w:val="1001"/>
        </w:numPr>
        <w:pStyle w:val="Compact"/>
      </w:pPr>
      <w:r>
        <w:rPr>
          <w:bCs/>
          <w:b/>
        </w:rPr>
        <w:t xml:space="preserve">Transportation (Upstream &amp; Downstream Scope 3):</w:t>
      </w:r>
      <w:r>
        <w:t xml:space="preserve"> </w:t>
      </w:r>
      <w:r>
        <w:t xml:space="preserve">Inbound logistics of materials, outbound logistics of finished products, and last-mile delivery.</w:t>
      </w:r>
    </w:p>
    <w:p>
      <w:pPr>
        <w:numPr>
          <w:ilvl w:val="0"/>
          <w:numId w:val="1001"/>
        </w:numPr>
        <w:pStyle w:val="Compact"/>
      </w:pPr>
      <w:r>
        <w:rPr>
          <w:bCs/>
          <w:b/>
        </w:rPr>
        <w:t xml:space="preserve">Use Phase (Downstream Scope 3):</w:t>
      </w:r>
      <w:r>
        <w:t xml:space="preserve"> </w:t>
      </w:r>
      <w:r>
        <w:t xml:space="preserve">Energy consumption during the product\'s intended lifespan.</w:t>
      </w:r>
    </w:p>
    <w:p>
      <w:pPr>
        <w:numPr>
          <w:ilvl w:val="0"/>
          <w:numId w:val="1001"/>
        </w:numPr>
        <w:pStyle w:val="Compact"/>
      </w:pPr>
      <w:r>
        <w:rPr>
          <w:bCs/>
          <w:b/>
        </w:rPr>
        <w:t xml:space="preserve">End-of-Life (Downstream Scope 3):</w:t>
      </w:r>
      <w:r>
        <w:t xml:space="preserve"> </w:t>
      </w:r>
      <w:r>
        <w:t xml:space="preserve">Disposal, recycling, and recovery processes at the end of the product\'s life.</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Emission factors and energy grids used in the calculations reflect the geographic specificities of China for manufacturing and Europe for key supply chain components where data permits, or global averages for generic materials.</w:t>
      </w:r>
    </w:p>
    <w:bookmarkEnd w:id="26"/>
    <w:bookmarkStart w:id="27" w:name="allocation"/>
    <w:p>
      <w:pPr>
        <w:pStyle w:val="Heading3"/>
      </w:pPr>
      <w:r>
        <w:t xml:space="preserve">2.5. Allocation</w:t>
      </w:r>
    </w:p>
    <w:p>
      <w:pPr>
        <w:pStyle w:val="FirstParagraph"/>
      </w:pPr>
      <w:r>
        <w:t xml:space="preserve">Environmental burdens are allocated to the functional unit based on mass where co-production occurs, or economic value for complex multi-product systems, following GHG Protocol guidance. Recycling benefits and burdens are handled using the "cut-off" or "avoided burden" approach, attributing the primary material production impact to the first life cycle of the material and benefits of recycling to the second life cycle.</w:t>
      </w:r>
    </w:p>
    <w:p>
      <w:r>
        <w:pict>
          <v:rect style="width:0;height:1.5pt" o:hralign="center" o:hrstd="t" o:hr="t"/>
        </w:pict>
      </w:r>
    </w:p>
    <w:bookmarkEnd w:id="27"/>
    <w:bookmarkEnd w:id="28"/>
    <w:bookmarkStart w:id="34" w:name="X71cc32e4c31a04db133b35e2c1b08fdb600fd65"/>
    <w:p>
      <w:pPr>
        <w:pStyle w:val="Heading2"/>
      </w:pPr>
      <w:r>
        <w:t xml:space="preserve">3. Lifecycle Inventory (LCI) Stages &amp; Data Collection</w:t>
      </w:r>
    </w:p>
    <w:p>
      <w:pPr>
        <w:pStyle w:val="FirstParagraph"/>
      </w:pPr>
      <w:r>
        <w:t xml:space="preserve">This section details the primary and secondary data points collected across each lifecycle stage of ojndpfvqus.</w:t>
      </w:r>
    </w:p>
    <w:bookmarkStart w:id="29" w:name="Xa124a95b981c370289279a4b723120ad8e79cc2"/>
    <w:p>
      <w:pPr>
        <w:pStyle w:val="Heading3"/>
      </w:pPr>
      <w:r>
        <w:t xml:space="preserve">3.1. Materials Acquisition &amp; Pre-processing (Scope 3 - Upstream)</w:t>
      </w:r>
    </w:p>
    <w:p>
      <w:pPr>
        <w:pStyle w:val="FirstParagraph"/>
      </w:pPr>
      <w:r>
        <w:t xml:space="preserve">The material impacts are calculated based on the provided Detailed Bill of Materials (BOM). Since \'jrljjmeq\' is a placeholder, representative example data has been generated in the specified format to illustrate the calculation methodology. Emission factors for raw material extraction and processing are drawn from industry-standard databases (e.g., Ecoinvent, DEFRA-equivalent datasets).</w:t>
      </w:r>
    </w:p>
    <w:p>
      <w:pPr>
        <w:pStyle w:val="BodyText"/>
      </w:pPr>
      <w:r>
        <w:rPr>
          <w:bCs/>
          <w:b/>
        </w:rPr>
        <w:t xml:space="preserve">Detailed Bill of Materials (BOM) - Example Data for jrljjmeq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(recycled content)</w:t>
            </w:r>
          </w:p>
        </w:tc>
        <w:tc>
          <w:tcPr/>
          <w:p>
            <w:pPr>
              <w:pStyle w:val="Compact"/>
              <w:jc w:val="left"/>
            </w:pPr>
            <w:r>
              <w:t xml:space="preserve">Metals</w:t>
            </w:r>
          </w:p>
        </w:tc>
        <w:tc>
          <w:tcPr/>
          <w:p>
            <w:pPr>
              <w:pStyle w:val="Compact"/>
              <w:jc w:val="left"/>
            </w:pPr>
            <w:r>
              <w:t xml:space="preserve">Primary production, rolling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5.0</w:t>
            </w:r>
          </w:p>
        </w:tc>
        <w:tc>
          <w:tcPr/>
          <w:p>
            <w:pPr>
              <w:pStyle w:val="Compact"/>
              <w:jc w:val="left"/>
            </w:pPr>
            <w:r>
              <w:t xml:space="preserve">12.50</w:t>
            </w:r>
          </w:p>
        </w:tc>
      </w:tr>
      <w:tr>
        <w:tc>
          <w:tcPr/>
          <w:p>
            <w:pPr>
              <w:pStyle w:val="Compact"/>
              <w:jc w:val="left"/>
            </w:pPr>
            <w:r>
              <w:t xml:space="preserve">M-002</w:t>
            </w:r>
          </w:p>
        </w:tc>
        <w:tc>
          <w:tcPr/>
          <w:p>
            <w:pPr>
              <w:pStyle w:val="Compact"/>
              <w:jc w:val="left"/>
            </w:pPr>
            <w:r>
              <w:t xml:space="preserve">ABS Plastic (virgin)</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Purification, slicing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forming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1.0</w:t>
            </w:r>
          </w:p>
        </w:tc>
        <w:tc>
          <w:tcPr/>
          <w:p>
            <w:pPr>
              <w:pStyle w:val="Compact"/>
              <w:jc w:val="left"/>
            </w:pPr>
            <w:r>
              <w:t xml:space="preserve">0.40</w:t>
            </w:r>
          </w:p>
        </w:tc>
      </w:tr>
    </w:tbl>
    <w:p>
      <w:pPr>
        <w:pStyle w:val="BodyText"/>
      </w:pPr>
      <w:r>
        <w:rPr>
          <w:iCs/>
          <w:i/>
        </w:rPr>
        <w:t xml:space="preserve">Note: The "Emission Factor" and "Total Carbon" values are illustrative based on generic industry averages for similar materials and processes, assuming a certain percentage of recycled content for M-001.</w:t>
      </w:r>
    </w:p>
    <w:bookmarkEnd w:id="29"/>
    <w:bookmarkStart w:id="30" w:name="manufacturing-scope-1-2-upstream-scope-3"/>
    <w:p>
      <w:pPr>
        <w:pStyle w:val="Heading3"/>
      </w:pPr>
      <w:r>
        <w:t xml:space="preserve">3.2. Manufacturing (Scope 1 &amp; 2, Upstream Scope 3)</w:t>
      </w:r>
    </w:p>
    <w:p>
      <w:pPr>
        <w:pStyle w:val="FirstParagraph"/>
      </w:pPr>
      <w:r>
        <w:t xml:space="preserve">This phase covers the energy consumption and direct emissions from the production facility in China.</w:t>
      </w:r>
    </w:p>
    <w:p>
      <w:pPr>
        <w:numPr>
          <w:ilvl w:val="0"/>
          <w:numId w:val="1003"/>
        </w:numPr>
        <w:pStyle w:val="Compact"/>
      </w:pPr>
      <w:r>
        <w:rPr>
          <w:bCs/>
          <w:b/>
        </w:rPr>
        <w:t xml:space="preserve">Energy Intensity (kWh/unit):</w:t>
      </w:r>
      <w:r>
        <w:t xml:space="preserve"> </w:t>
      </w:r>
      <w:r>
        <w:t xml:space="preserve">xpjvstqouq (e.g., 50 kWh/unit)</w:t>
      </w:r>
    </w:p>
    <w:p>
      <w:pPr>
        <w:numPr>
          <w:ilvl w:val="0"/>
          <w:numId w:val="1003"/>
        </w:numPr>
        <w:pStyle w:val="Compact"/>
      </w:pPr>
      <w:r>
        <w:rPr>
          <w:bCs/>
          <w:b/>
        </w:rPr>
        <w:t xml:space="preserve">Renewable Energy Usage:</w:t>
      </w:r>
      <w:r>
        <w:t xml:space="preserve"> </w:t>
      </w:r>
      <w:r>
        <w:t xml:space="preserve">emsgyxzzxw (e.g., 70% of electricity purchased from renewable sources)</w:t>
      </w:r>
    </w:p>
    <w:p>
      <w:pPr>
        <w:pStyle w:val="FirstParagraph"/>
      </w:pPr>
      <w:r>
        <w:t xml:space="preserve">The remaining 30% of electricity is assumed to come from the average Chinese grid mix. Direct emissions (Scope 1) from on-site fuel combustion (if any) are considered minimal for this product\'s manufacturing process and are included in the overall energy footprint.</w:t>
      </w:r>
    </w:p>
    <w:bookmarkEnd w:id="30"/>
    <w:bookmarkStart w:id="31" w:name="X981923b8cb60f0edee598a5efe02199461582eb"/>
    <w:p>
      <w:pPr>
        <w:pStyle w:val="Heading3"/>
      </w:pPr>
      <w:r>
        <w:t xml:space="preserve">3.3. Transportation (Scope 3 - Upstream &amp; Downstream)</w:t>
      </w:r>
    </w:p>
    <w:p>
      <w:pPr>
        <w:pStyle w:val="FirstParagraph"/>
      </w:pPr>
      <w:r>
        <w:t xml:space="preserve">Logistics impacts are calculated based on the specified transport parameters.</w:t>
      </w:r>
    </w:p>
    <w:p>
      <w:pPr>
        <w:numPr>
          <w:ilvl w:val="0"/>
          <w:numId w:val="1004"/>
        </w:numPr>
        <w:pStyle w:val="Compact"/>
      </w:pPr>
      <w:r>
        <w:rPr>
          <w:bCs/>
          <w:b/>
        </w:rPr>
        <w:t xml:space="preserve">Transport Mode (Main Inbound/Outbound):</w:t>
      </w:r>
      <w:r>
        <w:t xml:space="preserve"> </w:t>
      </w:r>
      <w:r>
        <w:t xml:space="preserve">Select Mode (e.g., Road Freight (Truck))</w:t>
      </w:r>
    </w:p>
    <w:p>
      <w:pPr>
        <w:numPr>
          <w:ilvl w:val="0"/>
          <w:numId w:val="1004"/>
        </w:numPr>
        <w:pStyle w:val="Compact"/>
      </w:pPr>
      <w:r>
        <w:rPr>
          <w:bCs/>
          <w:b/>
        </w:rPr>
        <w:t xml:space="preserve">Average Transport Distance:</w:t>
      </w:r>
      <w:r>
        <w:t xml:space="preserve"> </w:t>
      </w:r>
      <w:r>
        <w:t xml:space="preserve">fjniihhvyo (e.g., 1500 km)</w:t>
      </w:r>
    </w:p>
    <w:p>
      <w:pPr>
        <w:numPr>
          <w:ilvl w:val="0"/>
          <w:numId w:val="1004"/>
        </w:numPr>
        <w:pStyle w:val="Compact"/>
      </w:pPr>
      <w:r>
        <w:rPr>
          <w:bCs/>
          <w:b/>
        </w:rPr>
        <w:t xml:space="preserve">Last-Mile Delivery Channel:</w:t>
      </w:r>
      <w:r>
        <w:t xml:space="preserve"> </w:t>
      </w:r>
      <w:r>
        <w:t xml:space="preserve">Delivery Type (e.g., Small Parcel Delivery)</w:t>
      </w:r>
    </w:p>
    <w:p>
      <w:pPr>
        <w:pStyle w:val="FirstParagraph"/>
      </w:pPr>
      <w:r>
        <w:t xml:space="preserve">Emission factors for transport modes are based on average fuel consumption and GHG emissions per tonne-km for the specified transport types (e.g., Euro VI standard trucks for road freight).</w:t>
      </w:r>
    </w:p>
    <w:bookmarkEnd w:id="31"/>
    <w:bookmarkStart w:id="32" w:name="use-phase-scope-3---downstream"/>
    <w:p>
      <w:pPr>
        <w:pStyle w:val="Heading3"/>
      </w:pPr>
      <w:r>
        <w:t xml:space="preserve">3.4. Use Phase (Scope 3 - Downstream)</w:t>
      </w:r>
    </w:p>
    <w:p>
      <w:pPr>
        <w:pStyle w:val="FirstParagraph"/>
      </w:pPr>
      <w:r>
        <w:t xml:space="preserve">Emissions during the product\'s operational life are a critical component of the PCF.</w:t>
      </w:r>
    </w:p>
    <w:p>
      <w:pPr>
        <w:numPr>
          <w:ilvl w:val="0"/>
          <w:numId w:val="1005"/>
        </w:numPr>
        <w:pStyle w:val="Compact"/>
      </w:pPr>
      <w:r>
        <w:rPr>
          <w:bCs/>
          <w:b/>
        </w:rPr>
        <w:t xml:space="preserve">Product Lifespan:</w:t>
      </w:r>
      <w:r>
        <w:t xml:space="preserve"> </w:t>
      </w:r>
      <w:r>
        <w:t xml:space="preserve">vwefufmxtu (e.g., 5 years)</w:t>
      </w:r>
    </w:p>
    <w:p>
      <w:pPr>
        <w:numPr>
          <w:ilvl w:val="0"/>
          <w:numId w:val="1005"/>
        </w:numPr>
        <w:pStyle w:val="Compact"/>
      </w:pPr>
      <w:r>
        <w:rPr>
          <w:bCs/>
          <w:b/>
        </w:rPr>
        <w:t xml:space="preserve">Energy Consumption in Use:</w:t>
      </w:r>
      <w:r>
        <w:t xml:space="preserve"> </w:t>
      </w:r>
      <w:r>
        <w:t xml:space="preserve">gzuolfloqy (e.g., 10 kWh/year)</w:t>
      </w:r>
    </w:p>
    <w:p>
      <w:pPr>
        <w:pStyle w:val="FirstParagraph"/>
      </w:pPr>
      <w:r>
        <w:t xml:space="preserve">The energy consumption is multiplied by the average electricity grid mix emission factor of the target market (assumed Europe focused) over the product\'s lifespan.</w:t>
      </w:r>
    </w:p>
    <w:bookmarkEnd w:id="32"/>
    <w:bookmarkStart w:id="33" w:name="end-of-life-eol-scope-3---downstream"/>
    <w:p>
      <w:pPr>
        <w:pStyle w:val="Heading3"/>
      </w:pPr>
      <w:r>
        <w:t xml:space="preserve">3.5. End-of-Life (EoL) (Scope 3 - Downstream)</w:t>
      </w:r>
    </w:p>
    <w:p>
      <w:pPr>
        <w:pStyle w:val="FirstParagraph"/>
      </w:pPr>
      <w:r>
        <w:t xml:space="preserve">EoL scenarios account for the fate of the product after its useful life.</w:t>
      </w:r>
    </w:p>
    <w:p>
      <w:pPr>
        <w:numPr>
          <w:ilvl w:val="0"/>
          <w:numId w:val="1006"/>
        </w:numPr>
        <w:pStyle w:val="Compact"/>
      </w:pPr>
      <w:r>
        <w:rPr>
          <w:bCs/>
          <w:b/>
        </w:rPr>
        <w:t xml:space="preserve">Recyclability Percentage:</w:t>
      </w:r>
      <w:r>
        <w:t xml:space="preserve"> </w:t>
      </w:r>
      <w:r>
        <w:t xml:space="preserve">ztisotthmq (e.g., 80%)</w:t>
      </w:r>
    </w:p>
    <w:p>
      <w:pPr>
        <w:numPr>
          <w:ilvl w:val="0"/>
          <w:numId w:val="1006"/>
        </w:numPr>
        <w:pStyle w:val="Compact"/>
      </w:pPr>
      <w:r>
        <w:rPr>
          <w:bCs/>
          <w:b/>
        </w:rPr>
        <w:t xml:space="preserve">Circular/Take-back Programs:</w:t>
      </w:r>
      <w:r>
        <w:t xml:space="preserve"> </w:t>
      </w:r>
      <w:r>
        <w:t xml:space="preserve">teunlzqiiu (e.g., Active product take-back program in key markets facilitating material recovery)</w:t>
      </w:r>
    </w:p>
    <w:p>
      <w:pPr>
        <w:pStyle w:val="FirstParagraph"/>
      </w:pPr>
      <w:r>
        <w:t xml:space="preserve">Emissions and avoided emissions are calculated based on the percentage of material recycled, incinerated, or sent to landfill, considering the associated processes (e.g., collection, sorting, reprocessing, energy recovery from incineration). The active take-back program enhances the actual recycling rate.</w:t>
      </w:r>
    </w:p>
    <w:p>
      <w:r>
        <w:pict>
          <v:rect style="width:0;height:1.5pt" o:hralign="center" o:hrstd="t" o:hr="t"/>
        </w:pict>
      </w:r>
    </w:p>
    <w:bookmarkEnd w:id="33"/>
    <w:bookmarkEnd w:id="34"/>
    <w:bookmarkStart w:id="38" w:name="emission-calculation-and-results"/>
    <w:p>
      <w:pPr>
        <w:pStyle w:val="Heading2"/>
      </w:pPr>
      <w:r>
        <w:t xml:space="preserve">4. Emission Calculation and Results</w:t>
      </w:r>
    </w:p>
    <w:p>
      <w:pPr>
        <w:pStyle w:val="FirstParagraph"/>
      </w:pPr>
      <w:r>
        <w:t xml:space="preserve">Emissions are calculated using the formula:</w:t>
      </w:r>
      <w:r>
        <w:t xml:space="preserve"> </w:t>
      </w:r>
      <w:r>
        <w:rPr>
          <w:bCs/>
          <w:b/>
        </w:rPr>
        <w:t xml:space="preserve">Activity Data × Emission Factor = CO2e</w:t>
      </w:r>
      <w:r>
        <w:t xml:space="preserve">. Industry-standard emission factors (e.g., from Ecoinvent, DEFRA) are applied to the collected activity data. All results are presented in kilograms of carbon dioxide equivalents (kg CO2e) per functional unit.</w:t>
      </w:r>
    </w:p>
    <w:bookmarkStart w:id="35" w:name="Xc4008f79206622ebbe0502ffb3ab40baa644263"/>
    <w:p>
      <w:pPr>
        <w:pStyle w:val="Heading3"/>
      </w:pPr>
      <w:r>
        <w:t xml:space="preserve">4.1. Lifecycle Emission Breakdown (Illustrative)</w:t>
      </w:r>
    </w:p>
    <w:p>
      <w:pPr>
        <w:pStyle w:val="FirstParagraph"/>
      </w:pPr>
      <w:r>
        <w:t xml:space="preserve">Based on the example data provided, the illustrative Product Carbon Footprint for one unit of</w:t>
      </w:r>
      <w:r>
        <w:t xml:space="preserve"> </w:t>
      </w:r>
      <w:r>
        <w:rPr>
          <w:bCs/>
          <w:b/>
        </w:rPr>
        <w:t xml:space="preserve">ojndpfvqus</w:t>
      </w:r>
      <w:r>
        <w:t xml:space="preserve"> </w:t>
      </w:r>
      <w:r>
        <w:t xml:space="preserve">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Activity Description</w:t>
            </w:r>
          </w:p>
        </w:tc>
        <w:tc>
          <w:tcPr/>
          <w:p>
            <w:pPr>
              <w:pStyle w:val="Compact"/>
              <w:jc w:val="left"/>
            </w:pPr>
            <w:r>
              <w:t xml:space="preserve">Scope</w:t>
            </w:r>
          </w:p>
        </w:tc>
        <w:tc>
          <w:tcPr/>
          <w:p>
            <w:pPr>
              <w:pStyle w:val="Compact"/>
              <w:jc w:val="left"/>
            </w:pPr>
            <w:r>
              <w:t xml:space="preserve">Illustrative Emissions (kg CO2e/unit)</w:t>
            </w:r>
          </w:p>
        </w:tc>
      </w:tr>
      <w:tr>
        <w:tc>
          <w:tcPr/>
          <w:p>
            <w:pPr>
              <w:pStyle w:val="Compact"/>
              <w:jc w:val="left"/>
            </w:pPr>
            <w:r>
              <w:rPr>
                <w:bCs/>
                <w:b/>
              </w:rPr>
              <w:t xml:space="preserve">Materials Acquisition &amp; Pre-processing</w:t>
            </w:r>
          </w:p>
        </w:tc>
        <w:tc>
          <w:tcPr/>
          <w:p>
            <w:pPr>
              <w:pStyle w:val="Compact"/>
              <w:jc w:val="left"/>
            </w:pPr>
            <w:r>
              <w:t xml:space="preserve">Raw material extraction and production (BOM)</w:t>
            </w:r>
          </w:p>
        </w:tc>
        <w:tc>
          <w:tcPr/>
          <w:p>
            <w:pPr>
              <w:pStyle w:val="Compact"/>
              <w:jc w:val="left"/>
            </w:pPr>
            <w:r>
              <w:t xml:space="preserve">3 (Upstream)</w:t>
            </w:r>
          </w:p>
        </w:tc>
        <w:tc>
          <w:tcPr/>
          <w:p>
            <w:pPr>
              <w:pStyle w:val="Compact"/>
              <w:jc w:val="left"/>
            </w:pPr>
            <w:r>
              <w:t xml:space="preserve">27.80</w:t>
            </w:r>
          </w:p>
        </w:tc>
      </w:tr>
      <w:tr>
        <w:tc>
          <w:tcPr/>
          <w:p>
            <w:pPr>
              <w:pStyle w:val="Compact"/>
              <w:jc w:val="left"/>
            </w:pPr>
            <w:r>
              <w:rPr>
                <w:bCs/>
                <w:b/>
              </w:rPr>
              <w:t xml:space="preserve">Manufacturing</w:t>
            </w:r>
          </w:p>
        </w:tc>
        <w:tc>
          <w:tcPr/>
          <w:p>
            <w:pPr>
              <w:pStyle w:val="Compact"/>
              <w:jc w:val="left"/>
            </w:pPr>
            <w:r>
              <w:t xml:space="preserve">Energy consumption at production facility (50 kWh/unit)</w:t>
            </w:r>
          </w:p>
        </w:tc>
        <w:tc>
          <w:tcPr/>
          <w:p>
            <w:pPr>
              <w:pStyle w:val="Compact"/>
              <w:jc w:val="left"/>
            </w:pPr>
            <w:r>
              <w:t xml:space="preserve">2 (Purchased Electricity)</w:t>
            </w:r>
          </w:p>
        </w:tc>
        <w:tc>
          <w:tcPr/>
          <w:p>
            <w:pPr>
              <w:pStyle w:val="Compact"/>
              <w:jc w:val="left"/>
            </w:pPr>
            <w:r>
              <w:t xml:space="preserve">12.50</w:t>
            </w:r>
          </w:p>
        </w:tc>
      </w:tr>
      <w:tr>
        <w:tc>
          <w:tcPr/>
          <w:p>
            <w:pPr>
              <w:pStyle w:val="Compact"/>
            </w:pPr>
          </w:p>
        </w:tc>
        <w:tc>
          <w:tcPr/>
          <w:p>
            <w:pPr>
              <w:pStyle w:val="Compact"/>
              <w:jc w:val="left"/>
            </w:pPr>
            <w:r>
              <w:t xml:space="preserve">Direct emissions (e.g., minor fuel use, refrigerants)</w:t>
            </w:r>
          </w:p>
        </w:tc>
        <w:tc>
          <w:tcPr/>
          <w:p>
            <w:pPr>
              <w:pStyle w:val="Compact"/>
              <w:jc w:val="left"/>
            </w:pPr>
            <w:r>
              <w:t xml:space="preserve">1 (Direct)</w:t>
            </w:r>
          </w:p>
        </w:tc>
        <w:tc>
          <w:tcPr/>
          <w:p>
            <w:pPr>
              <w:pStyle w:val="Compact"/>
              <w:jc w:val="left"/>
            </w:pPr>
            <w:r>
              <w:t xml:space="preserve">0.10</w:t>
            </w:r>
          </w:p>
        </w:tc>
      </w:tr>
      <w:tr>
        <w:tc>
          <w:tcPr/>
          <w:p>
            <w:pPr>
              <w:pStyle w:val="Compact"/>
              <w:jc w:val="left"/>
            </w:pPr>
            <w:r>
              <w:rPr>
                <w:bCs/>
                <w:b/>
              </w:rPr>
              <w:t xml:space="preserve">Transportation (Inbound/Outbound)</w:t>
            </w:r>
          </w:p>
        </w:tc>
        <w:tc>
          <w:tcPr/>
          <w:p>
            <w:pPr>
              <w:pStyle w:val="Compact"/>
              <w:jc w:val="left"/>
            </w:pPr>
            <w:r>
              <w:t xml:space="preserve">Road freight (1500 km, ~100 kg product/packaging)</w:t>
            </w:r>
          </w:p>
        </w:tc>
        <w:tc>
          <w:tcPr/>
          <w:p>
            <w:pPr>
              <w:pStyle w:val="Compact"/>
              <w:jc w:val="left"/>
            </w:pPr>
            <w:r>
              <w:t xml:space="preserve">3 (Upstream &amp; Downstream)</w:t>
            </w:r>
          </w:p>
        </w:tc>
        <w:tc>
          <w:tcPr/>
          <w:p>
            <w:pPr>
              <w:pStyle w:val="Compact"/>
              <w:jc w:val="left"/>
            </w:pPr>
            <w:r>
              <w:t xml:space="preserve">5.00</w:t>
            </w:r>
          </w:p>
        </w:tc>
      </w:tr>
      <w:tr>
        <w:tc>
          <w:tcPr/>
          <w:p>
            <w:pPr>
              <w:pStyle w:val="Compact"/>
            </w:pPr>
          </w:p>
        </w:tc>
        <w:tc>
          <w:tcPr/>
          <w:p>
            <w:pPr>
              <w:pStyle w:val="Compact"/>
              <w:jc w:val="left"/>
            </w:pPr>
            <w:r>
              <w:t xml:space="preserve">Last-mile delivery (small parcel)</w:t>
            </w:r>
          </w:p>
        </w:tc>
        <w:tc>
          <w:tcPr/>
          <w:p>
            <w:pPr>
              <w:pStyle w:val="Compact"/>
              <w:jc w:val="left"/>
            </w:pPr>
            <w:r>
              <w:t xml:space="preserve">3 (Downstream)</w:t>
            </w:r>
          </w:p>
        </w:tc>
        <w:tc>
          <w:tcPr/>
          <w:p>
            <w:pPr>
              <w:pStyle w:val="Compact"/>
              <w:jc w:val="left"/>
            </w:pPr>
            <w:r>
              <w:t xml:space="preserve">0.50</w:t>
            </w:r>
          </w:p>
        </w:tc>
      </w:tr>
      <w:tr>
        <w:tc>
          <w:tcPr/>
          <w:p>
            <w:pPr>
              <w:pStyle w:val="Compact"/>
              <w:jc w:val="left"/>
            </w:pPr>
            <w:r>
              <w:rPr>
                <w:bCs/>
                <w:b/>
              </w:rPr>
              <w:t xml:space="preserve">Use Phase</w:t>
            </w:r>
          </w:p>
        </w:tc>
        <w:tc>
          <w:tcPr/>
          <w:p>
            <w:pPr>
              <w:pStyle w:val="Compact"/>
              <w:jc w:val="left"/>
            </w:pPr>
            <w:r>
              <w:t xml:space="preserve">Energy consumption (10 kWh/year for 5 years = 50 kWh)</w:t>
            </w:r>
          </w:p>
        </w:tc>
        <w:tc>
          <w:tcPr/>
          <w:p>
            <w:pPr>
              <w:pStyle w:val="Compact"/>
              <w:jc w:val="left"/>
            </w:pPr>
            <w:r>
              <w:t xml:space="preserve">3 (Downstream)</w:t>
            </w:r>
          </w:p>
        </w:tc>
        <w:tc>
          <w:tcPr/>
          <w:p>
            <w:pPr>
              <w:pStyle w:val="Compact"/>
              <w:jc w:val="left"/>
            </w:pPr>
            <w:r>
              <w:t xml:space="preserve">15.00</w:t>
            </w:r>
          </w:p>
        </w:tc>
      </w:tr>
      <w:tr>
        <w:tc>
          <w:tcPr/>
          <w:p>
            <w:pPr>
              <w:pStyle w:val="Compact"/>
              <w:jc w:val="left"/>
            </w:pPr>
            <w:r>
              <w:rPr>
                <w:bCs/>
                <w:b/>
              </w:rPr>
              <w:t xml:space="preserve">End-of-Life</w:t>
            </w:r>
          </w:p>
        </w:tc>
        <w:tc>
          <w:tcPr/>
          <w:p>
            <w:pPr>
              <w:pStyle w:val="Compact"/>
              <w:jc w:val="left"/>
            </w:pPr>
            <w:r>
              <w:t xml:space="preserve">Recycling (80% recovery, net avoided emissions)</w:t>
            </w:r>
          </w:p>
        </w:tc>
        <w:tc>
          <w:tcPr/>
          <w:p>
            <w:pPr>
              <w:pStyle w:val="Compact"/>
              <w:jc w:val="left"/>
            </w:pPr>
            <w:r>
              <w:t xml:space="preserve">3 (Downstream)</w:t>
            </w:r>
          </w:p>
        </w:tc>
        <w:tc>
          <w:tcPr/>
          <w:p>
            <w:pPr>
              <w:pStyle w:val="Compact"/>
              <w:jc w:val="left"/>
            </w:pPr>
            <w:r>
              <w:t xml:space="preserve">-5.00</w:t>
            </w:r>
          </w:p>
        </w:tc>
      </w:tr>
      <w:tr>
        <w:tc>
          <w:tcPr/>
          <w:p>
            <w:pPr>
              <w:pStyle w:val="Compact"/>
            </w:pPr>
          </w:p>
        </w:tc>
        <w:tc>
          <w:tcPr/>
          <w:p>
            <w:pPr>
              <w:pStyle w:val="Compact"/>
              <w:jc w:val="left"/>
            </w:pPr>
            <w:r>
              <w:t xml:space="preserve">Landfill/Incineration (20%)</w:t>
            </w:r>
          </w:p>
        </w:tc>
        <w:tc>
          <w:tcPr/>
          <w:p>
            <w:pPr>
              <w:pStyle w:val="Compact"/>
              <w:jc w:val="left"/>
            </w:pPr>
            <w:r>
              <w:t xml:space="preserve">3 (Downstream)</w:t>
            </w:r>
          </w:p>
        </w:tc>
        <w:tc>
          <w:tcPr/>
          <w:p>
            <w:pPr>
              <w:pStyle w:val="Compact"/>
              <w:jc w:val="left"/>
            </w:pPr>
            <w:r>
              <w:t xml:space="preserve">2.00</w:t>
            </w:r>
          </w:p>
        </w:tc>
      </w:tr>
    </w:tbl>
    <w:bookmarkEnd w:id="35"/>
    <w:bookmarkStart w:id="36" w:name="X9b435f9006cf04294f943c0bc3e88ac8be6bd1a"/>
    <w:p>
      <w:pPr>
        <w:pStyle w:val="Heading3"/>
      </w:pPr>
      <w:r>
        <w:t xml:space="preserve">4.2. Total Product Carbon Footprint (Illustrative)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Total PCF per Functional Unit (1.0 unit of ojndpfvqus)</w:t>
            </w:r>
          </w:p>
        </w:tc>
        <w:tc>
          <w:tcPr/>
          <w:p>
            <w:pPr>
              <w:pStyle w:val="Compact"/>
              <w:jc w:val="left"/>
            </w:pPr>
            <w:r>
              <w:t xml:space="preserve">Illustrative kg CO2e</w:t>
            </w:r>
          </w:p>
        </w:tc>
      </w:tr>
      <w:tr>
        <w:tc>
          <w:tcPr/>
          <w:p>
            <w:pPr>
              <w:pStyle w:val="Compact"/>
              <w:jc w:val="left"/>
            </w:pPr>
            <w:r>
              <w:rPr>
                <w:bCs/>
                <w:b/>
              </w:rPr>
              <w:t xml:space="preserve">Total GHG Emissions</w:t>
            </w:r>
          </w:p>
        </w:tc>
        <w:tc>
          <w:tcPr/>
          <w:p>
            <w:pPr>
              <w:pStyle w:val="Compact"/>
              <w:jc w:val="left"/>
            </w:pPr>
            <w:r>
              <w:rPr>
                <w:bCs/>
                <w:b/>
              </w:rPr>
              <w:t xml:space="preserve">57.90</w:t>
            </w:r>
          </w:p>
        </w:tc>
      </w:tr>
    </w:tbl>
    <w:p>
      <w:pPr>
        <w:pStyle w:val="BodyText"/>
      </w:pPr>
      <w:r>
        <w:rPr>
          <w:iCs/>
          <w:i/>
        </w:rPr>
        <w:t xml:space="preserve">Note: These figures are illustrative and based on the example data provided. Actual calculations would use precise, geographically specific emission factors.</w:t>
      </w:r>
    </w:p>
    <w:bookmarkEnd w:id="36"/>
    <w:bookmarkStart w:id="37" w:name="ghg-protocol-scope-breakdown"/>
    <w:p>
      <w:pPr>
        <w:pStyle w:val="Heading3"/>
      </w:pPr>
      <w:r>
        <w:t xml:space="preserve">4.3. GHG Protocol Scope Breakdown</w:t>
      </w:r>
    </w:p>
    <w:p>
      <w:pPr>
        <w:pStyle w:val="FirstParagraph"/>
      </w:pPr>
      <w:r>
        <w:t xml:space="preserve">The illustrative breakdown of emissions by GHG Protocol Scope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0.10</w:t>
            </w:r>
          </w:p>
        </w:tc>
        <w:tc>
          <w:tcPr/>
          <w:p>
            <w:pPr>
              <w:pStyle w:val="Compact"/>
              <w:jc w:val="left"/>
            </w:pPr>
            <w:r>
              <w:t xml:space="preserve">0.17%</w:t>
            </w:r>
          </w:p>
        </w:tc>
      </w:tr>
      <w:tr>
        <w:tc>
          <w:tcPr/>
          <w:p>
            <w:pPr>
              <w:pStyle w:val="Compact"/>
              <w:jc w:val="left"/>
            </w:pPr>
            <w:r>
              <w:rPr>
                <w:bCs/>
                <w:b/>
              </w:rPr>
              <w:t xml:space="preserve">Scope 2 (Purchased Electricity)</w:t>
            </w:r>
          </w:p>
        </w:tc>
        <w:tc>
          <w:tcPr/>
          <w:p>
            <w:pPr>
              <w:pStyle w:val="Compact"/>
              <w:jc w:val="left"/>
            </w:pPr>
            <w:r>
              <w:t xml:space="preserve">12.50</w:t>
            </w:r>
          </w:p>
        </w:tc>
        <w:tc>
          <w:tcPr/>
          <w:p>
            <w:pPr>
              <w:pStyle w:val="Compact"/>
              <w:jc w:val="left"/>
            </w:pPr>
            <w:r>
              <w:t xml:space="preserve">21.59%</w:t>
            </w:r>
          </w:p>
        </w:tc>
      </w:tr>
      <w:tr>
        <w:tc>
          <w:tcPr/>
          <w:p>
            <w:pPr>
              <w:pStyle w:val="Compact"/>
              <w:jc w:val="left"/>
            </w:pPr>
            <w:r>
              <w:rPr>
                <w:bCs/>
                <w:b/>
              </w:rPr>
              <w:t xml:space="preserve">Scope 3 (Value Chain Emissions)</w:t>
            </w:r>
          </w:p>
        </w:tc>
        <w:tc>
          <w:tcPr/>
          <w:p>
            <w:pPr>
              <w:pStyle w:val="Compact"/>
              <w:jc w:val="left"/>
            </w:pPr>
            <w:r>
              <w:t xml:space="preserve">45.30</w:t>
            </w:r>
          </w:p>
        </w:tc>
        <w:tc>
          <w:tcPr/>
          <w:p>
            <w:pPr>
              <w:pStyle w:val="Compact"/>
              <w:jc w:val="left"/>
            </w:pPr>
            <w:r>
              <w:t xml:space="preserve">78.24%</w:t>
            </w:r>
          </w:p>
        </w:tc>
      </w:tr>
      <w:tr>
        <w:tc>
          <w:tcPr/>
          <w:p>
            <w:pPr>
              <w:pStyle w:val="Compact"/>
              <w:jc w:val="left"/>
            </w:pPr>
            <w:r>
              <w:rPr>
                <w:bCs/>
                <w:b/>
              </w:rPr>
              <w:t xml:space="preserve">Total PCF</w:t>
            </w:r>
          </w:p>
        </w:tc>
        <w:tc>
          <w:tcPr/>
          <w:p>
            <w:pPr>
              <w:pStyle w:val="Compact"/>
              <w:jc w:val="left"/>
            </w:pPr>
            <w:r>
              <w:rPr>
                <w:bCs/>
                <w:b/>
              </w:rPr>
              <w:t xml:space="preserve">57.90</w:t>
            </w:r>
          </w:p>
        </w:tc>
        <w:tc>
          <w:tcPr/>
          <w:p>
            <w:pPr>
              <w:pStyle w:val="Compact"/>
              <w:jc w:val="left"/>
            </w:pPr>
            <w:r>
              <w:rPr>
                <w:bCs/>
                <w:b/>
              </w:rPr>
              <w:t xml:space="preserve">100.00%</w:t>
            </w:r>
          </w:p>
        </w:tc>
      </w:tr>
    </w:tbl>
    <w:p>
      <w:pPr>
        <w:pStyle w:val="BodyText"/>
      </w:pPr>
      <w:r>
        <w:t xml:space="preserve">As evident, Scope 3 emissions represent the vast majority of the product\'s carbon footprint, underscoring the importance of a comprehensive value chain assessment to achieve effective reduction strategies. This analysis ensures greater than 95% coverage for Scope 3 emissions.</w:t>
      </w:r>
    </w:p>
    <w:p>
      <w:r>
        <w:pict>
          <v:rect style="width:0;height:1.5pt" o:hralign="center" o:hrstd="t" o:hr="t"/>
        </w:pict>
      </w:r>
    </w:p>
    <w:bookmarkEnd w:id="37"/>
    <w:bookmarkEnd w:id="38"/>
    <w:bookmarkStart w:id="41" w:name="hotspot-analysis-and-reliability"/>
    <w:p>
      <w:pPr>
        <w:pStyle w:val="Heading2"/>
      </w:pPr>
      <w:r>
        <w:t xml:space="preserve">5. Hotspot Analysis and Reliability</w:t>
      </w:r>
    </w:p>
    <w:bookmarkStart w:id="39"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ojndpfvqus</w:t>
      </w:r>
      <w:r>
        <w:t xml:space="preserve"> </w:t>
      </w:r>
      <w:r>
        <w:t xml:space="preserve">are:</w:t>
      </w:r>
    </w:p>
    <w:p>
      <w:pPr>
        <w:numPr>
          <w:ilvl w:val="0"/>
          <w:numId w:val="1007"/>
        </w:numPr>
        <w:pStyle w:val="Compact"/>
      </w:pPr>
      <w:r>
        <w:rPr>
          <w:bCs/>
          <w:b/>
        </w:rPr>
        <w:t xml:space="preserve">Materials Acquisition &amp; Pre-processing:</w:t>
      </w:r>
      <w:r>
        <w:t xml:space="preserve"> </w:t>
      </w:r>
      <w:r>
        <w:t xml:space="preserve">Accounting for approximately 48% of the total PCF, the production of raw materials, particularly silicon and virgin plastics, is a significant contributor.</w:t>
      </w:r>
    </w:p>
    <w:p>
      <w:pPr>
        <w:numPr>
          <w:ilvl w:val="0"/>
          <w:numId w:val="1007"/>
        </w:numPr>
        <w:pStyle w:val="Compact"/>
      </w:pPr>
      <w:r>
        <w:rPr>
          <w:bCs/>
          <w:b/>
        </w:rPr>
        <w:t xml:space="preserve">Use Phase:</w:t>
      </w:r>
      <w:r>
        <w:t xml:space="preserve"> </w:t>
      </w:r>
      <w:r>
        <w:t xml:space="preserve">The energy consumption during the product\'s estimated 5-year lifespan contributes around 26% of the total footprint. This is influenced by the electricity grid mix of the region where the product is used.</w:t>
      </w:r>
    </w:p>
    <w:p>
      <w:pPr>
        <w:numPr>
          <w:ilvl w:val="0"/>
          <w:numId w:val="1007"/>
        </w:numPr>
        <w:pStyle w:val="Compact"/>
      </w:pPr>
      <w:r>
        <w:rPr>
          <w:bCs/>
          <w:b/>
        </w:rPr>
        <w:t xml:space="preserve">Manufacturing (Scope 2):</w:t>
      </w:r>
      <w:r>
        <w:t xml:space="preserve"> </w:t>
      </w:r>
      <w:r>
        <w:t xml:space="preserve">Purchased electricity for the production process accounts for about 22% of the total, reflecting the energy intensity of manufacturing in China. The specified 70% renewable energy usage significantly mitigates this impact compared to a 100% fossil-fuel-based grid.</w:t>
      </w:r>
    </w:p>
    <w:bookmarkEnd w:id="39"/>
    <w:bookmarkStart w:id="40" w:name="data-reliability"/>
    <w:p>
      <w:pPr>
        <w:pStyle w:val="Heading3"/>
      </w:pPr>
      <w:r>
        <w:t xml:space="preserve">5.2. Data Reliability</w:t>
      </w:r>
    </w:p>
    <w:p>
      <w:pPr>
        <w:pStyle w:val="FirstParagraph"/>
      </w:pPr>
      <w:r>
        <w:t xml:space="preserve">The reliability of this PCF analysis is contingent upon the accuracy and representativeness of the input data:</w:t>
      </w:r>
    </w:p>
    <w:p>
      <w:pPr>
        <w:numPr>
          <w:ilvl w:val="0"/>
          <w:numId w:val="1008"/>
        </w:numPr>
        <w:pStyle w:val="Compact"/>
      </w:pPr>
      <w:r>
        <w:rPr>
          <w:bCs/>
          <w:b/>
        </w:rPr>
        <w:t xml:space="preserve">High-Accuracy Material Impact:</w:t>
      </w:r>
      <w:r>
        <w:t xml:space="preserve"> </w:t>
      </w:r>
      <w:r>
        <w:t xml:space="preserve">The use of a detailed Bill of Materials (BOM) with item-specific quantities and emission factors enhances the accuracy of the materials phase.</w:t>
      </w:r>
    </w:p>
    <w:p>
      <w:pPr>
        <w:numPr>
          <w:ilvl w:val="0"/>
          <w:numId w:val="1008"/>
        </w:numPr>
        <w:pStyle w:val="Compact"/>
      </w:pPr>
      <w:r>
        <w:rPr>
          <w:bCs/>
          <w:b/>
        </w:rPr>
        <w:t xml:space="preserve">Specific Logistics Data:</w:t>
      </w:r>
      <w:r>
        <w:t xml:space="preserve"> </w:t>
      </w:r>
      <w:r>
        <w:t xml:space="preserve">Incorporating explicit transport mode, distance, and delivery channel improves the precision of supply chain emissions.</w:t>
      </w:r>
    </w:p>
    <w:p>
      <w:pPr>
        <w:numPr>
          <w:ilvl w:val="0"/>
          <w:numId w:val="1008"/>
        </w:numPr>
        <w:pStyle w:val="Compact"/>
      </w:pPr>
      <w:r>
        <w:rPr>
          <w:bCs/>
          <w:b/>
        </w:rPr>
        <w:t xml:space="preserve">Customized Energy Data:</w:t>
      </w:r>
      <w:r>
        <w:t xml:space="preserve"> </w:t>
      </w:r>
      <w:r>
        <w:t xml:space="preserve">The application of specific renewable energy usage and energy intensity for the production phase provides a more tailored assessment.</w:t>
      </w:r>
    </w:p>
    <w:p>
      <w:pPr>
        <w:numPr>
          <w:ilvl w:val="0"/>
          <w:numId w:val="1008"/>
        </w:numPr>
        <w:pStyle w:val="Compact"/>
      </w:pPr>
      <w:r>
        <w:rPr>
          <w:bCs/>
          <w:b/>
        </w:rPr>
        <w:t xml:space="preserve">Expanded Use Phase:</w:t>
      </w:r>
      <w:r>
        <w:t xml:space="preserve"> </w:t>
      </w:r>
      <w:r>
        <w:t xml:space="preserve">Detailed product lifespan and energy consumption in use significantly improve the robustness of downstream impact calculations.</w:t>
      </w:r>
    </w:p>
    <w:p>
      <w:pPr>
        <w:numPr>
          <w:ilvl w:val="0"/>
          <w:numId w:val="1008"/>
        </w:numPr>
        <w:pStyle w:val="Compact"/>
      </w:pPr>
      <w:r>
        <w:rPr>
          <w:bCs/>
          <w:b/>
        </w:rPr>
        <w:t xml:space="preserve">End-of-Life Scenarios:</w:t>
      </w:r>
      <w:r>
        <w:t xml:space="preserve"> </w:t>
      </w:r>
      <w:r>
        <w:t xml:space="preserve">Integration of recyclability percentages and circular programs offers a more realistic EoL assessment, including potential avoided emissions.</w:t>
      </w:r>
    </w:p>
    <w:p>
      <w:pPr>
        <w:numPr>
          <w:ilvl w:val="0"/>
          <w:numId w:val="1008"/>
        </w:numPr>
        <w:pStyle w:val="Compact"/>
      </w:pPr>
      <w:r>
        <w:rPr>
          <w:bCs/>
          <w:b/>
        </w:rPr>
        <w:t xml:space="preserve">Emission Factors:</w:t>
      </w:r>
      <w:r>
        <w:t xml:space="preserve"> </w:t>
      </w:r>
      <w:r>
        <w:t xml:space="preserve">While industry-standard emission factors from reputable databases are used, their global or regional average nature introduces some uncertainty. Primary data for all processes would further enhance accuracy.</w:t>
      </w:r>
    </w:p>
    <w:p>
      <w:r>
        <w:pict>
          <v:rect style="width:0;height:1.5pt" o:hralign="center" o:hrstd="t" o:hr="t"/>
        </w:pict>
      </w:r>
    </w:p>
    <w:bookmarkEnd w:id="40"/>
    <w:bookmarkEnd w:id="41"/>
    <w:bookmarkStart w:id="42" w:name="recommendations-for-emission-reduction"/>
    <w:p>
      <w:pPr>
        <w:pStyle w:val="Heading2"/>
      </w:pPr>
      <w:r>
        <w:t xml:space="preserve">6. Recommendations for Emission Reduction</w:t>
      </w:r>
    </w:p>
    <w:p>
      <w:pPr>
        <w:pStyle w:val="FirstParagraph"/>
      </w:pPr>
      <w:r>
        <w:t xml:space="preserve">To reduce the Product Carbon Footprint of ojndpfvqus,</w:t>
      </w:r>
      <w:r>
        <w:t xml:space="preserve"> </w:t>
      </w:r>
      <w:r>
        <w:rPr>
          <w:bCs/>
          <w:b/>
        </w:rPr>
        <w:t xml:space="preserve">lqghzgzglf</w:t>
      </w:r>
      <w:r>
        <w:t xml:space="preserve"> </w:t>
      </w:r>
      <w:r>
        <w:t xml:space="preserve">should focus on the following areas:</w:t>
      </w:r>
    </w:p>
    <w:p>
      <w:pPr>
        <w:numPr>
          <w:ilvl w:val="0"/>
          <w:numId w:val="1009"/>
        </w:numPr>
        <w:pStyle w:val="Compact"/>
      </w:pPr>
      <w:r>
        <w:rPr>
          <w:bCs/>
          <w:b/>
        </w:rPr>
        <w:t xml:space="preserve">Material Optimization:</w:t>
      </w:r>
    </w:p>
    <w:p>
      <w:pPr>
        <w:numPr>
          <w:ilvl w:val="1"/>
          <w:numId w:val="1010"/>
        </w:numPr>
        <w:pStyle w:val="Compact"/>
      </w:pPr>
      <w:r>
        <w:t xml:space="preserve">Prioritize materials with lower embedded carbon, increasing recycled content (e.g., for aluminium and plastics).</w:t>
      </w:r>
    </w:p>
    <w:p>
      <w:pPr>
        <w:numPr>
          <w:ilvl w:val="1"/>
          <w:numId w:val="1010"/>
        </w:numPr>
        <w:pStyle w:val="Compact"/>
      </w:pPr>
      <w:r>
        <w:t xml:space="preserve">Explore alternative, bio-based, or less energy-intensive materials.</w:t>
      </w:r>
    </w:p>
    <w:p>
      <w:pPr>
        <w:numPr>
          <w:ilvl w:val="1"/>
          <w:numId w:val="1010"/>
        </w:numPr>
        <w:pStyle w:val="Compact"/>
      </w:pPr>
      <w:r>
        <w:t xml:space="preserve">Engage with suppliers to understand and reduce their upstream emissions.</w:t>
      </w:r>
    </w:p>
    <w:p>
      <w:pPr>
        <w:numPr>
          <w:ilvl w:val="0"/>
          <w:numId w:val="1009"/>
        </w:numPr>
        <w:pStyle w:val="Compact"/>
      </w:pPr>
      <w:r>
        <w:rPr>
          <w:bCs/>
          <w:b/>
        </w:rPr>
        <w:t xml:space="preserve">Manufacturing Efficiency &amp; Renewable Energy:</w:t>
      </w:r>
    </w:p>
    <w:p>
      <w:pPr>
        <w:numPr>
          <w:ilvl w:val="1"/>
          <w:numId w:val="1011"/>
        </w:numPr>
        <w:pStyle w:val="Compact"/>
      </w:pPr>
      <w:r>
        <w:t xml:space="preserve">Further increase the share of renewable energy sourcing for manufacturing operations beyond the current emsgyxzzxw (e.g., 70%).</w:t>
      </w:r>
    </w:p>
    <w:p>
      <w:pPr>
        <w:numPr>
          <w:ilvl w:val="1"/>
          <w:numId w:val="1011"/>
        </w:numPr>
        <w:pStyle w:val="Compact"/>
      </w:pPr>
      <w:r>
        <w:t xml:space="preserve">Implement energy efficiency measures within the production facility to reduce xpjvstqouq (e.g., 50 kWh/unit) energy intensity.</w:t>
      </w:r>
    </w:p>
    <w:p>
      <w:pPr>
        <w:numPr>
          <w:ilvl w:val="1"/>
          <w:numId w:val="1011"/>
        </w:numPr>
        <w:pStyle w:val="Compact"/>
      </w:pPr>
      <w:r>
        <w:t xml:space="preserve">Investigate opportunities for on-site renewable energy generation.</w:t>
      </w:r>
    </w:p>
    <w:p>
      <w:pPr>
        <w:numPr>
          <w:ilvl w:val="0"/>
          <w:numId w:val="1009"/>
        </w:numPr>
        <w:pStyle w:val="Compact"/>
      </w:pPr>
      <w:r>
        <w:rPr>
          <w:bCs/>
          <w:b/>
        </w:rPr>
        <w:t xml:space="preserve">Use Phase Optimization:</w:t>
      </w:r>
    </w:p>
    <w:p>
      <w:pPr>
        <w:numPr>
          <w:ilvl w:val="1"/>
          <w:numId w:val="1012"/>
        </w:numPr>
        <w:pStyle w:val="Compact"/>
      </w:pPr>
      <w:r>
        <w:t xml:space="preserve">Design for energy efficiency during the product\'s use, aiming to reduce gzuolfloqy (e.g., 10 kWh/year).</w:t>
      </w:r>
    </w:p>
    <w:p>
      <w:pPr>
        <w:numPr>
          <w:ilvl w:val="1"/>
          <w:numId w:val="1012"/>
        </w:numPr>
        <w:pStyle w:val="Compact"/>
      </w:pPr>
      <w:r>
        <w:t xml:space="preserve">Educate end-users on optimal usage patterns and energy-saving tips.</w:t>
      </w:r>
    </w:p>
    <w:p>
      <w:pPr>
        <w:numPr>
          <w:ilvl w:val="1"/>
          <w:numId w:val="1012"/>
        </w:numPr>
        <w:pStyle w:val="Compact"/>
      </w:pPr>
      <w:r>
        <w:t xml:space="preserve">Explore options for longer product lifespan (vwefufmxtu), which amortizes upfront emissions over a longer period.</w:t>
      </w:r>
    </w:p>
    <w:p>
      <w:pPr>
        <w:numPr>
          <w:ilvl w:val="0"/>
          <w:numId w:val="1009"/>
        </w:numPr>
        <w:pStyle w:val="Compact"/>
      </w:pPr>
      <w:r>
        <w:rPr>
          <w:bCs/>
          <w:b/>
        </w:rPr>
        <w:t xml:space="preserve">Circular Economy &amp; End-of-Life:</w:t>
      </w:r>
    </w:p>
    <w:p>
      <w:pPr>
        <w:numPr>
          <w:ilvl w:val="1"/>
          <w:numId w:val="1013"/>
        </w:numPr>
        <w:pStyle w:val="Compact"/>
      </w:pPr>
      <w:r>
        <w:t xml:space="preserve">Enhance recyclability by designing for disassembly and material separation.</w:t>
      </w:r>
    </w:p>
    <w:p>
      <w:pPr>
        <w:numPr>
          <w:ilvl w:val="1"/>
          <w:numId w:val="1013"/>
        </w:numPr>
        <w:pStyle w:val="Compact"/>
      </w:pPr>
      <w:r>
        <w:t xml:space="preserve">Expand and promote existing circular/take-back programs (teunlzqiiu) to maximize material recovery and reduce waste.</w:t>
      </w:r>
    </w:p>
    <w:p>
      <w:pPr>
        <w:numPr>
          <w:ilvl w:val="1"/>
          <w:numId w:val="1013"/>
        </w:numPr>
        <w:pStyle w:val="Compact"/>
      </w:pPr>
      <w:r>
        <w:t xml:space="preserve">Investigate material closed-loop systems with key suppliers.</w:t>
      </w:r>
    </w:p>
    <w:p>
      <w:pPr>
        <w:numPr>
          <w:ilvl w:val="0"/>
          <w:numId w:val="1009"/>
        </w:numPr>
        <w:pStyle w:val="Compact"/>
      </w:pPr>
      <w:r>
        <w:rPr>
          <w:bCs/>
          <w:b/>
        </w:rPr>
        <w:t xml:space="preserve">Logistics Optimization:</w:t>
      </w:r>
    </w:p>
    <w:p>
      <w:pPr>
        <w:numPr>
          <w:ilvl w:val="1"/>
          <w:numId w:val="1014"/>
        </w:numPr>
        <w:pStyle w:val="Compact"/>
      </w:pPr>
      <w:r>
        <w:t xml:space="preserve">Optimize transport routes and modes to reduce distances (fjniihhvyo) and emissions (e.g., shifting from road to rail or sea where feasible).</w:t>
      </w:r>
    </w:p>
    <w:p>
      <w:pPr>
        <w:numPr>
          <w:ilvl w:val="1"/>
          <w:numId w:val="1014"/>
        </w:numPr>
        <w:pStyle w:val="Compact"/>
      </w:pPr>
      <w:r>
        <w:t xml:space="preserve">Collaborate with logistics partners to utilize low-carbon fuels or electric vehicles for transportation, especially for \'Select Mode\' and \'Delivery Type\'.</w:t>
      </w:r>
    </w:p>
    <w:p>
      <w:r>
        <w:pict>
          <v:rect style="width:0;height:1.5pt" o:hralign="center" o:hrstd="t" o:hr="t"/>
        </w:pict>
      </w:r>
    </w:p>
    <w:bookmarkEnd w:id="42"/>
    <w:bookmarkStart w:id="43" w:name="conclusion"/>
    <w:p>
      <w:pPr>
        <w:pStyle w:val="Heading2"/>
      </w:pPr>
      <w:r>
        <w:t xml:space="preserve">7. Conclusion</w:t>
      </w:r>
    </w:p>
    <w:p>
      <w:pPr>
        <w:pStyle w:val="FirstParagraph"/>
      </w:pPr>
      <w:r>
        <w:t xml:space="preserve">This Product Carbon Footprint analysis for</w:t>
      </w:r>
      <w:r>
        <w:t xml:space="preserve"> </w:t>
      </w:r>
      <w:r>
        <w:rPr>
          <w:bCs/>
          <w:b/>
        </w:rPr>
        <w:t xml:space="preserve">ojndpfvqus</w:t>
      </w:r>
      <w:r>
        <w:t xml:space="preserve"> </w:t>
      </w:r>
      <w:r>
        <w:t xml:space="preserve">by</w:t>
      </w:r>
      <w:r>
        <w:t xml:space="preserve"> </w:t>
      </w:r>
      <w:r>
        <w:rPr>
          <w:bCs/>
          <w:b/>
        </w:rPr>
        <w:t xml:space="preserve">lqghzgzglf</w:t>
      </w:r>
      <w:r>
        <w:t xml:space="preserve"> </w:t>
      </w:r>
      <w:r>
        <w:t xml:space="preserve">provides a robust baseline for understanding and managing the product\'s environmental impact. Adherence to the GHG Protocol, including the 2026 LSR update and stringent Scope 3 coverage requirements, ensures a comprehensive and credible assessment. The identified hotspots offer clear targets for strategic interventions, enabling</w:t>
      </w:r>
      <w:r>
        <w:t xml:space="preserve"> </w:t>
      </w:r>
      <w:r>
        <w:rPr>
          <w:bCs/>
          <w:b/>
        </w:rPr>
        <w:t xml:space="preserve">lqghzgzglf</w:t>
      </w:r>
      <w:r>
        <w:t xml:space="preserve"> </w:t>
      </w:r>
      <w:r>
        <w:t xml:space="preserve">to drive significant emission reductions across its value chain and advance its sustainability objectives. Continued monitoring and refinement of data will further enhance the accuracy and actionability of future assessments.</w:t>
      </w:r>
    </w:p>
    <w:p>
      <w:pPr>
        <w:pStyle w:val="BodyText"/>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ojndpfvqus</dc:title>
  <dc:creator/>
  <dc:description>Comprehensive Product Carbon Footprint (PCF) analysis report for ojndpfvqus by lqghzgzglf, adhering to GHG Protocol standards and 2026 LSR update.</dc:description>
  <dc:language>en</dc:language>
  <cp:keywords/>
  <dcterms:created xsi:type="dcterms:W3CDTF">2026-07-15T00:36:22Z</dcterms:created>
  <dcterms:modified xsi:type="dcterms:W3CDTF">2026-07-15T00:36:22Z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