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ojgeszehun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ojgeszehun</w:t>
      </w:r>
    </w:p>
    <w:p>
      <w:pPr>
        <w:pStyle w:val="BodyText"/>
      </w:pPr>
      <w:r>
        <w:t xml:space="preserve">Company: vhqlpkrzzl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zknsvwmlns</w:t>
      </w:r>
    </w:p>
    <w:p>
      <w:pPr>
        <w:pStyle w:val="BodyText"/>
      </w:pPr>
      <w:r>
        <w:t xml:space="preserve">This report is generated based on available data and industry standards. Assumptions for certain parameters have been made where specific values were not provided, as detailed within the report.</w:t>
      </w:r>
    </w:p>
    <w:bookmarkEnd w:id="20"/>
    <w:bookmarkStart w:id="46" w:name="X13708c833071018e337bb84d2d9c605c726cd5f"/>
    <w:p>
      <w:pPr>
        <w:pStyle w:val="Heading1"/>
      </w:pPr>
      <w:r>
        <w:t xml:space="preserve">Product Carbon Footprint Report: ojgeszehun</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ojgeszehun</w:t>
      </w:r>
      <w:r>
        <w:t xml:space="preserve">, manufactured by</w:t>
      </w:r>
      <w:r>
        <w:t xml:space="preserve"> </w:t>
      </w:r>
      <w:r>
        <w:rPr>
          <w:bCs/>
          <w:b/>
        </w:rPr>
        <w:t xml:space="preserve">vhqlpkrzzl</w:t>
      </w:r>
      <w:r>
        <w:t xml:space="preserve">. The assessment adheres to the Greenhouse Gas (GHG) Protocol standards, with a strong focus on comprehensive Scope 3 reporting, including consideration of the 2026 Land Sector and Removals (LSR) Standard update. Conducted by</w:t>
      </w:r>
      <w:r>
        <w:t xml:space="preserve"> </w:t>
      </w:r>
      <w:r>
        <w:rPr>
          <w:bCs/>
          <w:b/>
        </w:rPr>
        <w:t xml:space="preserve">zknsvwmlns</w:t>
      </w:r>
      <w:r>
        <w:t xml:space="preserve">, Senior Sustainability Consultant, this analysis quantifies the total greenhouse gas emissions across the product\'s lifecycle, from raw material extraction to end-of-life. The total carbon footprint for one functional unit of ojgeszehun is calculated to be</w:t>
      </w:r>
      <w:r>
        <w:t xml:space="preserve"> </w:t>
      </w:r>
      <w:r>
        <w:rPr>
          <w:bCs/>
          <w:b/>
        </w:rPr>
        <w:t xml:space="preserve">8.195 kg CO2e</w:t>
      </w:r>
      <w:r>
        <w:t xml:space="preserve">. Key emission hotspots have been identified in the materials acquisition and use phases, providing clear areas for targeted emission reduction strategies.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ojgeszehun follows a comprehensive lifecycle assessment (LCA) approach, guided by the principles and requirements of the GHG Protocol.</w:t>
      </w:r>
    </w:p>
    <w:bookmarkStart w:id="22" w:name="accounting-standard"/>
    <w:p>
      <w:pPr>
        <w:pStyle w:val="Heading3"/>
      </w:pPr>
      <w:r>
        <w:t xml:space="preserve">1.1. Accounting Standard</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 to ensure transparency and comparability.</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ojgeszehun</w:t>
      </w:r>
      <w:r>
        <w:t xml:space="preserve">.</w:t>
      </w:r>
    </w:p>
    <w:bookmarkEnd w:id="23"/>
    <w:bookmarkStart w:id="24" w:name="system-boundary"/>
    <w:p>
      <w:pPr>
        <w:pStyle w:val="Heading3"/>
      </w:pPr>
      <w:r>
        <w:t xml:space="preserve">1.3. System Boundary</w:t>
      </w:r>
    </w:p>
    <w:p>
      <w:pPr>
        <w:pStyle w:val="FirstParagraph"/>
      </w:pPr>
      <w:r>
        <w:t xml:space="preserve">The system boundary for this analysis is a \'</w:t>
      </w:r>
      <w:r>
        <w:rPr>
          <w:bCs/>
          <w:b/>
        </w:rPr>
        <w:t xml:space="preserve">factory_gate</w:t>
      </w:r>
      <w:r>
        <w:t xml:space="preserve">\' perspective, which means all upstream processes leading to the product leaving the factory are included, as well as downstream phases (transport to customer, use phase, and end-of-life). This cradle-to-grave approach covers:</w:t>
      </w:r>
    </w:p>
    <w:p>
      <w:pPr>
        <w:numPr>
          <w:ilvl w:val="0"/>
          <w:numId w:val="1001"/>
        </w:numPr>
        <w:pStyle w:val="Compact"/>
      </w:pPr>
      <w:r>
        <w:t xml:space="preserve">Raw Material Acquisition &amp; Pre-processing (Upstream Scope 3)</w:t>
      </w:r>
    </w:p>
    <w:p>
      <w:pPr>
        <w:numPr>
          <w:ilvl w:val="0"/>
          <w:numId w:val="1001"/>
        </w:numPr>
        <w:pStyle w:val="Compact"/>
      </w:pPr>
      <w:r>
        <w:t xml:space="preserve">Manufacturing &amp; Production (Company\'s Scope 1 &amp; 2, Upstream Scope 3 if outsourced)</w:t>
      </w:r>
    </w:p>
    <w:p>
      <w:pPr>
        <w:numPr>
          <w:ilvl w:val="0"/>
          <w:numId w:val="1001"/>
        </w:numPr>
        <w:pStyle w:val="Compact"/>
      </w:pPr>
      <w:r>
        <w:t xml:space="preserve">Distribution &amp; Transport to Customer (Downstream Scope 3)</w:t>
      </w:r>
    </w:p>
    <w:p>
      <w:pPr>
        <w:numPr>
          <w:ilvl w:val="0"/>
          <w:numId w:val="1001"/>
        </w:numPr>
        <w:pStyle w:val="Compact"/>
      </w:pPr>
      <w:r>
        <w:t xml:space="preserve">Product Use Phase (Downstream Scope 3)</w:t>
      </w:r>
    </w:p>
    <w:p>
      <w:pPr>
        <w:numPr>
          <w:ilvl w:val="0"/>
          <w:numId w:val="1001"/>
        </w:numPr>
        <w:pStyle w:val="Compact"/>
      </w:pPr>
      <w:r>
        <w:t xml:space="preserve">End-of-Life Treatment (Downstream Scope 3)</w:t>
      </w:r>
    </w:p>
    <w:bookmarkEnd w:id="24"/>
    <w:bookmarkStart w:id="25" w:name="geographic-scope"/>
    <w:p>
      <w:pPr>
        <w:pStyle w:val="Heading3"/>
      </w:pPr>
      <w:r>
        <w:t xml:space="preserve">1.4.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raw material sourcing and primary sales market)</w:t>
      </w:r>
    </w:p>
    <w:bookmarkEnd w:id="25"/>
    <w:bookmarkStart w:id="26" w:name="allocation"/>
    <w:p>
      <w:pPr>
        <w:pStyle w:val="Heading3"/>
      </w:pPr>
      <w:r>
        <w:t xml:space="preserve">1.5. Allocation</w:t>
      </w:r>
    </w:p>
    <w:p>
      <w:pPr>
        <w:pStyle w:val="FirstParagraph"/>
      </w:pPr>
      <w:r>
        <w:t xml:space="preserve">Emissions are allocated directly to the functional unit. For shared processes (e.g., transport vehicles carrying multiple products), emissions are allocated based on mass-distance principles. Credits for recycling are applied at the end-of-life stage, reflecting avoided emissions from virgin material production.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Land Sector and Removals (LSR) Standard, effective January 1, 2027, provides updated guidance for accounting for land sector emissions and CO2 removals. This report acknowledges the LSR Standard and its upcoming implementation. For this specific product,</w:t>
      </w:r>
      <w:r>
        <w:t xml:space="preserve"> </w:t>
      </w:r>
      <w:r>
        <w:rPr>
          <w:bCs/>
          <w:b/>
        </w:rPr>
        <w:t xml:space="preserve">ojgeszehun</w:t>
      </w:r>
      <w:r>
        <w:t xml:space="preserve"> </w:t>
      </w:r>
      <w:r>
        <w:t xml:space="preserve">(assumed to be a manufactured good like an electronic device), direct land-use change or significant biogenic product emissions are not a primary factor in its immediate production processes. Such impacts are typically embedded within the upstream material emission factors for raw materials (e.g., metals, plastics, derived from agricultural products), which are accounted for within the Scope 3 upstream categories. Direct application of LSR criteria beyond general material impact is not feasible without specific, primary land-use data for each raw material\'s origin. The report accounts for these impacts implicitly through the chosen emission factors for purchased goods and services.</w:t>
      </w:r>
    </w:p>
    <w:p>
      <w:r>
        <w:pict>
          <v:rect style="width:0;height:1.5pt" o:hralign="center" o:hrstd="t" o:hr="t"/>
        </w:pict>
      </w:r>
    </w:p>
    <w:bookmarkEnd w:id="27"/>
    <w:bookmarkEnd w:id="28"/>
    <w:bookmarkStart w:id="34" w:name="lifecycle-mapping-and-3.-data-collection"/>
    <w:p>
      <w:pPr>
        <w:pStyle w:val="Heading2"/>
      </w:pPr>
      <w:r>
        <w:t xml:space="preserve">2. Lifecycle Mapping and 3. Data Collection</w:t>
      </w:r>
    </w:p>
    <w:p>
      <w:pPr>
        <w:pStyle w:val="FirstParagraph"/>
      </w:pPr>
      <w:r>
        <w:t xml:space="preserve">The lifecycle of ojgeszehun is mapped through five key stages, and data is collected from primary (provided parameters) and secondary (industry-standard emission factors) sources.</w:t>
      </w:r>
    </w:p>
    <w:bookmarkStart w:id="29" w:name="Xc7bd1bbd8ae34cd7834106f424971921fa7f722"/>
    <w:p>
      <w:pPr>
        <w:pStyle w:val="Heading3"/>
      </w:pPr>
      <w:r>
        <w:t xml:space="preserve">2.1. Detailed Bill of Materials (BOM) and Material Inputs (Upstream Scope 3)</w:t>
      </w:r>
    </w:p>
    <w:p>
      <w:pPr>
        <w:pStyle w:val="FirstParagraph"/>
      </w:pPr>
      <w:r>
        <w:t xml:space="preserve">The detailed Bill of Materials (BOM)</w:t>
      </w:r>
      <w:r>
        <w:t xml:space="preserve"> </w:t>
      </w:r>
      <w:r>
        <w:rPr>
          <w:bCs/>
          <w:b/>
        </w:rPr>
        <w:t xml:space="preserve">pfmpjmkp</w:t>
      </w:r>
      <w:r>
        <w:t xml:space="preserve"> </w:t>
      </w:r>
      <w:r>
        <w:t xml:space="preserve">is crucial for calculating the material impact. The provided "Total Carbon" for each item has been directly used for high-accuracy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0.120</w:t>
            </w:r>
          </w:p>
        </w:tc>
      </w:tr>
      <w:tr>
        <w:tc>
          <w:tcPr/>
          <w:p>
            <w:pPr>
              <w:pStyle w:val="Compact"/>
              <w:jc w:val="left"/>
            </w:pPr>
            <w:r>
              <w:t xml:space="preserve">M005</w:t>
            </w:r>
          </w:p>
        </w:tc>
        <w:tc>
          <w:tcPr/>
          <w:p>
            <w:pPr>
              <w:pStyle w:val="Compact"/>
              <w:jc w:val="left"/>
            </w:pPr>
            <w:r>
              <w:t xml:space="preserve">Lithium-ion Cells</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P001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p>
            <w:pPr>
              <w:pStyle w:val="Compact"/>
              <w:jc w:val="left"/>
            </w:pPr>
            <w:r>
              <w:t xml:space="preserve">P002</w:t>
            </w:r>
          </w:p>
        </w:tc>
        <w:tc>
          <w:tcPr/>
          <w:p>
            <w:pPr>
              <w:pStyle w:val="Compact"/>
              <w:jc w:val="left"/>
            </w:pPr>
            <w:r>
              <w:t xml:space="preserve">PE Film for Protection</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0.040</w:t>
            </w:r>
          </w:p>
        </w:tc>
      </w:tr>
      <w:tr>
        <w:tc>
          <w:tcPr>
            <w:gridSpan w:val="7"/>
          </w:tcPr>
          <w:p>
            <w:pPr>
              <w:pStyle w:val="Compact"/>
              <w:jc w:val="right"/>
            </w:pPr>
            <w:r>
              <w:t xml:space="preserve">Total Material Acquisition Carbon (kgCO2e)</w:t>
            </w:r>
          </w:p>
        </w:tc>
        <w:tc>
          <w:tcPr/>
          <w:p>
            <w:pPr>
              <w:pStyle w:val="Compact"/>
              <w:jc w:val="left"/>
            </w:pPr>
            <w:r>
              <w:t xml:space="preserve">4.725</w:t>
            </w:r>
          </w:p>
        </w:tc>
      </w:tr>
    </w:tbl>
    <w:bookmarkEnd w:id="29"/>
    <w:bookmarkStart w:id="30" w:name="production-energy-inputs-scope-2"/>
    <w:p>
      <w:pPr>
        <w:pStyle w:val="Heading3"/>
      </w:pPr>
      <w:r>
        <w:t xml:space="preserve">2.2. Production Energy Inputs (Scope 2)</w:t>
      </w:r>
    </w:p>
    <w:p>
      <w:pPr>
        <w:numPr>
          <w:ilvl w:val="0"/>
          <w:numId w:val="1003"/>
        </w:numPr>
        <w:pStyle w:val="Compact"/>
      </w:pPr>
      <w:r>
        <w:rPr>
          <w:bCs/>
          <w:b/>
        </w:rPr>
        <w:t xml:space="preserve">Energy Intensity (kWh/unit):</w:t>
      </w:r>
      <w:r>
        <w:t xml:space="preserve"> </w:t>
      </w:r>
      <w:r>
        <w:t xml:space="preserve">opflgyoego (Assumed: 0.8 kWh/unit)</w:t>
      </w:r>
    </w:p>
    <w:p>
      <w:pPr>
        <w:numPr>
          <w:ilvl w:val="0"/>
          <w:numId w:val="1003"/>
        </w:numPr>
        <w:pStyle w:val="Compact"/>
      </w:pPr>
      <w:r>
        <w:rPr>
          <w:bCs/>
          <w:b/>
        </w:rPr>
        <w:t xml:space="preserve">Renewable Energy Usage:</w:t>
      </w:r>
      <w:r>
        <w:t xml:space="preserve"> </w:t>
      </w:r>
      <w:r>
        <w:t xml:space="preserve">qkgswznmuz (Assumed: 40%)</w:t>
      </w:r>
    </w:p>
    <w:p>
      <w:pPr>
        <w:numPr>
          <w:ilvl w:val="0"/>
          <w:numId w:val="1003"/>
        </w:numPr>
        <w:pStyle w:val="Compact"/>
      </w:pPr>
      <w:r>
        <w:rPr>
          <w:bCs/>
          <w:b/>
        </w:rPr>
        <w:t xml:space="preserve">Grid Electricity Emission Factor (China):</w:t>
      </w:r>
      <w:r>
        <w:t xml:space="preserve"> </w:t>
      </w:r>
      <w:r>
        <w:t xml:space="preserve">0.6205 kg CO2e/kWh</w:t>
      </w:r>
    </w:p>
    <w:bookmarkEnd w:id="30"/>
    <w:bookmarkStart w:id="31" w:name="Xac84ed147d1b3b8c54d6a9b9838445d8d89f324"/>
    <w:p>
      <w:pPr>
        <w:pStyle w:val="Heading3"/>
      </w:pPr>
      <w:r>
        <w:t xml:space="preserve">2.3. Transport Logistics Data (Upstream &amp; Downstream Scope 3)</w:t>
      </w:r>
    </w:p>
    <w:p>
      <w:pPr>
        <w:pStyle w:val="FirstParagraph"/>
      </w:pPr>
      <w:r>
        <w:t xml:space="preserve">The total weight of the product (including packaging) is approximately 0.7 kg.</w:t>
      </w:r>
    </w:p>
    <w:p>
      <w:pPr>
        <w:numPr>
          <w:ilvl w:val="0"/>
          <w:numId w:val="1004"/>
        </w:numPr>
        <w:pStyle w:val="Compact"/>
      </w:pPr>
      <w:r>
        <w:rPr>
          <w:bCs/>
          <w:b/>
        </w:rPr>
        <w:t xml:space="preserve">Upstream Transport (Materials to China Factory):</w:t>
      </w:r>
    </w:p>
    <w:p>
      <w:pPr>
        <w:numPr>
          <w:ilvl w:val="1"/>
          <w:numId w:val="1005"/>
        </w:numPr>
        <w:pStyle w:val="Compact"/>
      </w:pPr>
      <w:r>
        <w:t xml:space="preserve">Assumed Materials Weight: 1.4 kg (2x finished product weight to account for raw material losses/components)</w:t>
      </w:r>
    </w:p>
    <w:p>
      <w:pPr>
        <w:numPr>
          <w:ilvl w:val="1"/>
          <w:numId w:val="1005"/>
        </w:numPr>
        <w:pStyle w:val="Compact"/>
      </w:pPr>
      <w:r>
        <w:t xml:space="preserve">Distance (Europe to China): Assumed 500 km by Truck (within Europe) and 10,000 km by Ocean Freight (Europe to China)</w:t>
      </w:r>
    </w:p>
    <w:p>
      <w:pPr>
        <w:numPr>
          <w:ilvl w:val="1"/>
          <w:numId w:val="1005"/>
        </w:numPr>
        <w:pStyle w:val="Compact"/>
      </w:pPr>
      <w:r>
        <w:t xml:space="preserve">Transport Mode: Truck (Heavy Goods Vehicle), Ocean Freight (Container Ship)</w:t>
      </w:r>
    </w:p>
    <w:p>
      <w:pPr>
        <w:numPr>
          <w:ilvl w:val="1"/>
          <w:numId w:val="1005"/>
        </w:numPr>
        <w:pStyle w:val="Compact"/>
      </w:pPr>
      <w:r>
        <w:t xml:space="preserve">Emission Factors: Truck: 0.08 kgCO2e/tonne-km; Ocean Freight: 0.016 kgCO2e/tonne-km.</w:t>
      </w:r>
    </w:p>
    <w:p>
      <w:pPr>
        <w:numPr>
          <w:ilvl w:val="0"/>
          <w:numId w:val="1004"/>
        </w:numPr>
        <w:pStyle w:val="Compact"/>
      </w:pPr>
      <w:r>
        <w:rPr>
          <w:bCs/>
          <w:b/>
        </w:rPr>
        <w:t xml:space="preserve">Downstream Transport (Finished Product from China Factory to European Consumer):</w:t>
      </w:r>
    </w:p>
    <w:p>
      <w:pPr>
        <w:numPr>
          <w:ilvl w:val="1"/>
          <w:numId w:val="1006"/>
        </w:numPr>
        <w:pStyle w:val="Compact"/>
      </w:pPr>
      <w:r>
        <w:t xml:space="preserve">Transport Mode (Main Leg): Select Mode (Assumed: Ocean Freight from China to European port for 10,000 km (fwwzhsqzxj))</w:t>
      </w:r>
    </w:p>
    <w:p>
      <w:pPr>
        <w:numPr>
          <w:ilvl w:val="1"/>
          <w:numId w:val="1006"/>
        </w:numPr>
        <w:pStyle w:val="Compact"/>
      </w:pPr>
      <w:r>
        <w:t xml:space="preserve">Transport Mode (Secondary Leg): Assumed: Truck (Heavy Goods Vehicle) from port to regional distribution for 800 km</w:t>
      </w:r>
    </w:p>
    <w:p>
      <w:pPr>
        <w:numPr>
          <w:ilvl w:val="1"/>
          <w:numId w:val="1006"/>
        </w:numPr>
        <w:pStyle w:val="Compact"/>
      </w:pPr>
      <w:r>
        <w:t xml:space="preserve">Last-Mile Delivery Channel: Delivery Type (Assumed: Parcel Delivery Van for 50 km)</w:t>
      </w:r>
    </w:p>
    <w:p>
      <w:pPr>
        <w:numPr>
          <w:ilvl w:val="1"/>
          <w:numId w:val="1006"/>
        </w:numPr>
        <w:pStyle w:val="Compact"/>
      </w:pPr>
      <w:r>
        <w:t xml:space="preserve">Emission Factors: Ocean Freight: 0.016 kgCO2e/tonne-km; Truck: 0.08 kgCO2e/tonne-km; Parcel Van: 0.45 kgCO2e/tonne-km (derived from kgCO2e/km factor with average payload assumption).</w:t>
      </w:r>
    </w:p>
    <w:bookmarkEnd w:id="31"/>
    <w:bookmarkStart w:id="32" w:name="use-phase-data-downstream-scope-3"/>
    <w:p>
      <w:pPr>
        <w:pStyle w:val="Heading3"/>
      </w:pPr>
      <w:r>
        <w:t xml:space="preserve">2.4. Use Phase Data (Downstream Scope 3)</w:t>
      </w:r>
    </w:p>
    <w:p>
      <w:pPr>
        <w:numPr>
          <w:ilvl w:val="0"/>
          <w:numId w:val="1007"/>
        </w:numPr>
        <w:pStyle w:val="Compact"/>
      </w:pPr>
      <w:r>
        <w:rPr>
          <w:bCs/>
          <w:b/>
        </w:rPr>
        <w:t xml:space="preserve">Product Lifespan:</w:t>
      </w:r>
      <w:r>
        <w:t xml:space="preserve"> </w:t>
      </w:r>
      <w:r>
        <w:t xml:space="preserve">poylxedxto (Assumed: 3 years)</w:t>
      </w:r>
    </w:p>
    <w:p>
      <w:pPr>
        <w:numPr>
          <w:ilvl w:val="0"/>
          <w:numId w:val="1007"/>
        </w:numPr>
        <w:pStyle w:val="Compact"/>
      </w:pPr>
      <w:r>
        <w:rPr>
          <w:bCs/>
          <w:b/>
        </w:rPr>
        <w:t xml:space="preserve">Energy Consumption in Use:</w:t>
      </w:r>
      <w:r>
        <w:t xml:space="preserve"> </w:t>
      </w:r>
      <w:r>
        <w:t xml:space="preserve">ygiqnuptdw (Assumed: 5 kWh/year)</w:t>
      </w:r>
    </w:p>
    <w:p>
      <w:pPr>
        <w:numPr>
          <w:ilvl w:val="0"/>
          <w:numId w:val="1007"/>
        </w:numPr>
        <w:pStyle w:val="Compact"/>
      </w:pPr>
      <w:r>
        <w:rPr>
          <w:bCs/>
          <w:b/>
        </w:rPr>
        <w:t xml:space="preserve">Average Grid Electricity Emission Factor (Europe):</w:t>
      </w:r>
      <w:r>
        <w:t xml:space="preserve"> </w:t>
      </w:r>
      <w:r>
        <w:t xml:space="preserve">0.200 kg CO2e/kWh (estimated average based on European decarbonization trends)</w:t>
      </w:r>
    </w:p>
    <w:bookmarkEnd w:id="32"/>
    <w:bookmarkStart w:id="33" w:name="X120d541eb2099ba848c241b6320cfc893a7b66d"/>
    <w:p>
      <w:pPr>
        <w:pStyle w:val="Heading3"/>
      </w:pPr>
      <w:r>
        <w:t xml:space="preserve">2.5. End-of-Life (EoL) Scenarios (Downstream Scope 3)</w:t>
      </w:r>
    </w:p>
    <w:p>
      <w:pPr>
        <w:numPr>
          <w:ilvl w:val="0"/>
          <w:numId w:val="1008"/>
        </w:numPr>
        <w:pStyle w:val="Compact"/>
      </w:pPr>
      <w:r>
        <w:rPr>
          <w:bCs/>
          <w:b/>
        </w:rPr>
        <w:t xml:space="preserve">Recyclability Percentage:</w:t>
      </w:r>
      <w:r>
        <w:t xml:space="preserve"> </w:t>
      </w:r>
      <w:r>
        <w:t xml:space="preserve">kyomwitjdq (Assumed: 60% of product weight)</w:t>
      </w:r>
    </w:p>
    <w:p>
      <w:pPr>
        <w:numPr>
          <w:ilvl w:val="0"/>
          <w:numId w:val="1008"/>
        </w:numPr>
        <w:pStyle w:val="Compact"/>
      </w:pPr>
      <w:r>
        <w:rPr>
          <w:bCs/>
          <w:b/>
        </w:rPr>
        <w:t xml:space="preserve">Circular/Take-back Programs:</w:t>
      </w:r>
      <w:r>
        <w:t xml:space="preserve"> </w:t>
      </w:r>
      <w:r>
        <w:t xml:space="preserve">nnvqeolmuz (Assumed: Take-back scheme in place, facilitating recycling and proper disposal)</w:t>
      </w:r>
    </w:p>
    <w:p>
      <w:pPr>
        <w:numPr>
          <w:ilvl w:val="0"/>
          <w:numId w:val="1008"/>
        </w:numPr>
        <w:pStyle w:val="Compact"/>
      </w:pPr>
      <w:r>
        <w:rPr>
          <w:bCs/>
          <w:b/>
        </w:rPr>
        <w:t xml:space="preserve">Disposal Emission Factors:</w:t>
      </w:r>
      <w:r>
        <w:t xml:space="preserve"> </w:t>
      </w:r>
      <w:r>
        <w:t xml:space="preserve">Landfill: 0.5 kg CO2e/kg (for mixed waste); Recycling Credit: -1.0 kg CO2e/kg (for avoided virgin material, a conservative estimate)</w:t>
      </w:r>
    </w:p>
    <w:p>
      <w:r>
        <w:pict>
          <v:rect style="width:0;height:1.5pt" o:hralign="center" o:hrstd="t" o:hr="t"/>
        </w:pict>
      </w:r>
    </w:p>
    <w:bookmarkEnd w:id="33"/>
    <w:bookmarkEnd w:id="34"/>
    <w:bookmarkStart w:id="41" w:name="emission-calculation"/>
    <w:p>
      <w:pPr>
        <w:pStyle w:val="Heading2"/>
      </w:pPr>
      <w:r>
        <w:t xml:space="preserve">4. Emission Calculation</w:t>
      </w:r>
    </w:p>
    <w:p>
      <w:pPr>
        <w:pStyle w:val="FirstParagraph"/>
      </w:pPr>
      <w:r>
        <w:t xml:space="preserve">Emissions are calculated using the formula: Activity Data × Emission Factor = CO2e. All results are presented in kilograms of carbon dioxide equivalent (kg CO2e) per functional unit of ojgeszehun.</w:t>
      </w:r>
    </w:p>
    <w:bookmarkStart w:id="35" w:name="scope-1-emissions-direct-emissions"/>
    <w:p>
      <w:pPr>
        <w:pStyle w:val="Heading3"/>
      </w:pPr>
      <w:r>
        <w:t xml:space="preserve">4.1. Scope 1 Emissions (Direct Emissions)</w:t>
      </w:r>
    </w:p>
    <w:p>
      <w:pPr>
        <w:pStyle w:val="FirstParagraph"/>
      </w:pPr>
      <w:r>
        <w:t xml:space="preserve">For a product-level PCF of ojgeszehun manufactured by vhqlpkrzzl, direct Scope 1 emissions (e.g., from on-site fuel combustion or fugitive emissions) are considered negligible or fully integrated into the upstream manufacturing processes covered by Scope 3 when not directly owned/controlled by the reporting entity for this specific product. As per GHG Protocol, PCF often categorizes direct operational emissions related to product manufacturing under Scope 2 or Scope 3 (if outsourcing manufacturing) of the reporting company.</w:t>
      </w:r>
    </w:p>
    <w:p>
      <w:pPr>
        <w:pStyle w:val="BodyText"/>
      </w:pPr>
      <w:r>
        <w:rPr>
          <w:bCs/>
          <w:b/>
        </w:rPr>
        <w:t xml:space="preserve">Total Scope 1 Emissions: 0.000 kg 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of ojgeszehun in China.</w:t>
      </w:r>
    </w:p>
    <w:p>
      <w:pPr>
        <w:numPr>
          <w:ilvl w:val="0"/>
          <w:numId w:val="1009"/>
        </w:numPr>
        <w:pStyle w:val="Compact"/>
      </w:pPr>
      <w:r>
        <w:t xml:space="preserve">Energy Consumed from Grid: 0.8 kWh/unit × (1 - 40% renewable usage) = 0.48 kWh/unit</w:t>
      </w:r>
    </w:p>
    <w:p>
      <w:pPr>
        <w:numPr>
          <w:ilvl w:val="0"/>
          <w:numId w:val="1009"/>
        </w:numPr>
        <w:pStyle w:val="Compact"/>
      </w:pPr>
      <w:r>
        <w:t xml:space="preserve">Emissions: 0.48 kWh/unit × 0.6205 kg CO2e/kWh (China Grid EF) = 0.29784 kg CO2e/unit</w:t>
      </w:r>
    </w:p>
    <w:p>
      <w:pPr>
        <w:pStyle w:val="FirstParagraph"/>
      </w:pPr>
      <w:r>
        <w:rPr>
          <w:bCs/>
          <w:b/>
        </w:rPr>
        <w:t xml:space="preserve">Total Scope 2 Emissions: 0.298 kg CO2e</w:t>
      </w:r>
    </w:p>
    <w:bookmarkEnd w:id="36"/>
    <w:bookmarkStart w:id="39" w:name="scope-3-emissions-value-chain-emissions"/>
    <w:p>
      <w:pPr>
        <w:pStyle w:val="Heading3"/>
      </w:pPr>
      <w:r>
        <w:t xml:space="preserve">4.3. Scope 3 Emissions (Value Chain Emissions)</w:t>
      </w:r>
    </w:p>
    <w:p>
      <w:pPr>
        <w:pStyle w:val="FirstParagraph"/>
      </w:pPr>
      <w:r>
        <w:t xml:space="preserve">Scope 3 emissions cover all other indirect emissions, both upstream and downstream, representing the majority of the product\'s carbon footprint. We aim for at least 95% coverage for Scope 3 reporting, as per 2026 requirements, by including all relevant lifecycle stages.</w:t>
      </w:r>
    </w:p>
    <w:bookmarkStart w:id="37" w:name="upstream-scope-3-emissions"/>
    <w:p>
      <w:pPr>
        <w:pStyle w:val="Heading4"/>
      </w:pPr>
      <w:r>
        <w:t xml:space="preserve">4.3.1. Upstream Scope 3 Emissions</w:t>
      </w:r>
    </w:p>
    <w:p>
      <w:pPr>
        <w:pStyle w:val="FirstParagraph"/>
      </w:pPr>
      <w:r>
        <w:t xml:space="preserve">This category includes emissions from raw material extraction, pre-processing, and transportation of materials to the manufacturing facility.</w:t>
      </w:r>
    </w:p>
    <w:p>
      <w:pPr>
        <w:numPr>
          <w:ilvl w:val="0"/>
          <w:numId w:val="1010"/>
        </w:numPr>
        <w:pStyle w:val="Compact"/>
      </w:pPr>
      <w:r>
        <w:rPr>
          <w:bCs/>
          <w:b/>
        </w:rPr>
        <w:t xml:space="preserve">Purchased Goods and Services (Materials):</w:t>
      </w:r>
    </w:p>
    <w:p>
      <w:pPr>
        <w:numPr>
          <w:ilvl w:val="1"/>
          <w:numId w:val="1011"/>
        </w:numPr>
        <w:pStyle w:val="Compact"/>
      </w:pPr>
      <w:r>
        <w:t xml:space="preserve">Calculated directly from BOM: 4.725 kg CO2e</w:t>
      </w:r>
    </w:p>
    <w:p>
      <w:pPr>
        <w:numPr>
          <w:ilvl w:val="0"/>
          <w:numId w:val="1010"/>
        </w:numPr>
        <w:pStyle w:val="Compact"/>
      </w:pPr>
      <w:r>
        <w:rPr>
          <w:bCs/>
          <w:b/>
        </w:rPr>
        <w:t xml:space="preserve">Upstream Transportation and Distribution:</w:t>
      </w:r>
    </w:p>
    <w:p>
      <w:pPr>
        <w:numPr>
          <w:ilvl w:val="1"/>
          <w:numId w:val="1012"/>
        </w:numPr>
        <w:pStyle w:val="Compact"/>
      </w:pPr>
      <w:r>
        <w:t xml:space="preserve">Materials Weight: 1.4 kg</w:t>
      </w:r>
    </w:p>
    <w:p>
      <w:pPr>
        <w:numPr>
          <w:ilvl w:val="1"/>
          <w:numId w:val="1012"/>
        </w:numPr>
        <w:pStyle w:val="Compact"/>
      </w:pPr>
      <w:r>
        <w:t xml:space="preserve">Truck (Europe): 1.4 kg × 500 km × (0.08 kgCO2e/tonne-km / 1000) = 0.056 kg CO2e</w:t>
      </w:r>
    </w:p>
    <w:p>
      <w:pPr>
        <w:numPr>
          <w:ilvl w:val="1"/>
          <w:numId w:val="1012"/>
        </w:numPr>
        <w:pStyle w:val="Compact"/>
      </w:pPr>
      <w:r>
        <w:t xml:space="preserve">Ocean Freight (Europe to China): 1.4 kg × 10,000 km × (0.016 kgCO2e/tonne-km / 1000) = 0.224 kg CO2e</w:t>
      </w:r>
    </w:p>
    <w:p>
      <w:pPr>
        <w:numPr>
          <w:ilvl w:val="1"/>
          <w:numId w:val="1012"/>
        </w:numPr>
        <w:pStyle w:val="Compact"/>
      </w:pPr>
      <w:r>
        <w:t xml:space="preserve">Total Upstream Transport: 0.056 + 0.224 = 0.280 kg CO2e</w:t>
      </w:r>
    </w:p>
    <w:p>
      <w:pPr>
        <w:pStyle w:val="FirstParagraph"/>
      </w:pPr>
      <w:r>
        <w:rPr>
          <w:bCs/>
          <w:b/>
        </w:rPr>
        <w:t xml:space="preserve">Total Upstream Scope 3 Emissions: 4.725 + 0.280 = 5.005 kg CO2e</w:t>
      </w:r>
    </w:p>
    <w:bookmarkEnd w:id="37"/>
    <w:bookmarkStart w:id="38" w:name="downstream-scope-3-emissions"/>
    <w:p>
      <w:pPr>
        <w:pStyle w:val="Heading4"/>
      </w:pPr>
      <w:r>
        <w:t xml:space="preserve">4.3.2. Downstream Scope 3 Emissions</w:t>
      </w:r>
    </w:p>
    <w:p>
      <w:pPr>
        <w:pStyle w:val="FirstParagraph"/>
      </w:pPr>
      <w:r>
        <w:t xml:space="preserve">This category includes emissions from transportation of the finished product to the customer, its use phase, and end-of-life treatment.</w:t>
      </w:r>
    </w:p>
    <w:p>
      <w:pPr>
        <w:numPr>
          <w:ilvl w:val="0"/>
          <w:numId w:val="1013"/>
        </w:numPr>
        <w:pStyle w:val="Compact"/>
      </w:pPr>
      <w:r>
        <w:rPr>
          <w:bCs/>
          <w:b/>
        </w:rPr>
        <w:t xml:space="preserve">Downstream Transportation and Distribution:</w:t>
      </w:r>
    </w:p>
    <w:p>
      <w:pPr>
        <w:numPr>
          <w:ilvl w:val="1"/>
          <w:numId w:val="1014"/>
        </w:numPr>
        <w:pStyle w:val="Compact"/>
      </w:pPr>
      <w:r>
        <w:t xml:space="preserve">Product Weight: 0.7 kg</w:t>
      </w:r>
    </w:p>
    <w:p>
      <w:pPr>
        <w:numPr>
          <w:ilvl w:val="1"/>
          <w:numId w:val="1014"/>
        </w:numPr>
        <w:pStyle w:val="Compact"/>
      </w:pPr>
      <w:r>
        <w:t xml:space="preserve">Ocean Freight (China to Europe): 0.7 kg × 10,000 km × (0.016 kgCO2e/tonne-km / 1000) = 0.112 kg CO2e</w:t>
      </w:r>
    </w:p>
    <w:p>
      <w:pPr>
        <w:numPr>
          <w:ilvl w:val="1"/>
          <w:numId w:val="1014"/>
        </w:numPr>
        <w:pStyle w:val="Compact"/>
      </w:pPr>
      <w:r>
        <w:t xml:space="preserve">Truck (Europe, regional): 0.7 kg × 800 km × (0.08 kgCO2e/tonne-km / 1000) = 0.0448 kg CO2e</w:t>
      </w:r>
    </w:p>
    <w:p>
      <w:pPr>
        <w:numPr>
          <w:ilvl w:val="1"/>
          <w:numId w:val="1014"/>
        </w:numPr>
        <w:pStyle w:val="Compact"/>
      </w:pPr>
      <w:r>
        <w:t xml:space="preserve">Parcel Delivery Van (Last-Mile): 0.7 kg × 50 km × (0.45 kgCO2e/tonne-km / 1000) = 0.01575 kg CO2e</w:t>
      </w:r>
    </w:p>
    <w:p>
      <w:pPr>
        <w:numPr>
          <w:ilvl w:val="1"/>
          <w:numId w:val="1014"/>
        </w:numPr>
        <w:pStyle w:val="Compact"/>
      </w:pPr>
      <w:r>
        <w:t xml:space="preserve">Total Downstream Transport: 0.112 + 0.0448 + 0.01575 = 0.17255 kg CO2e</w:t>
      </w:r>
    </w:p>
    <w:p>
      <w:pPr>
        <w:numPr>
          <w:ilvl w:val="0"/>
          <w:numId w:val="1013"/>
        </w:numPr>
        <w:pStyle w:val="Compact"/>
      </w:pPr>
      <w:r>
        <w:rPr>
          <w:bCs/>
          <w:b/>
        </w:rPr>
        <w:t xml:space="preserve">Use Phase Emissions:</w:t>
      </w:r>
    </w:p>
    <w:p>
      <w:pPr>
        <w:numPr>
          <w:ilvl w:val="1"/>
          <w:numId w:val="1015"/>
        </w:numPr>
        <w:pStyle w:val="Compact"/>
      </w:pPr>
      <w:r>
        <w:t xml:space="preserve">Total Energy in Use: 3 years × 5 kWh/year = 15 kWh</w:t>
      </w:r>
    </w:p>
    <w:p>
      <w:pPr>
        <w:numPr>
          <w:ilvl w:val="1"/>
          <w:numId w:val="1015"/>
        </w:numPr>
        <w:pStyle w:val="Compact"/>
      </w:pPr>
      <w:r>
        <w:t xml:space="preserve">Emissions: 15 kWh × 0.200 kg CO2e/kWh (European Grid EF) = 3.0 kg CO2e</w:t>
      </w:r>
    </w:p>
    <w:p>
      <w:pPr>
        <w:numPr>
          <w:ilvl w:val="0"/>
          <w:numId w:val="1013"/>
        </w:numPr>
        <w:pStyle w:val="Compact"/>
      </w:pPr>
      <w:r>
        <w:rPr>
          <w:bCs/>
          <w:b/>
        </w:rPr>
        <w:t xml:space="preserve">End-of-Life Treatment:</w:t>
      </w:r>
    </w:p>
    <w:p>
      <w:pPr>
        <w:numPr>
          <w:ilvl w:val="1"/>
          <w:numId w:val="1016"/>
        </w:numPr>
        <w:pStyle w:val="Compact"/>
      </w:pPr>
      <w:r>
        <w:t xml:space="preserve">Total Product Weight (excluding packaging): 0.7 kg</w:t>
      </w:r>
    </w:p>
    <w:p>
      <w:pPr>
        <w:numPr>
          <w:ilvl w:val="1"/>
          <w:numId w:val="1016"/>
        </w:numPr>
        <w:pStyle w:val="Compact"/>
      </w:pPr>
      <w:r>
        <w:t xml:space="preserve">Recycled Portion (60%): 0.7 kg × 0.60 = 0.42 kg</w:t>
      </w:r>
    </w:p>
    <w:p>
      <w:pPr>
        <w:numPr>
          <w:ilvl w:val="1"/>
          <w:numId w:val="1016"/>
        </w:numPr>
        <w:pStyle w:val="Compact"/>
      </w:pPr>
      <w:r>
        <w:t xml:space="preserve">Recycling Credit: 0.42 kg × (-1.0 kg CO2e/kg) = -0.42 kg CO2e</w:t>
      </w:r>
    </w:p>
    <w:p>
      <w:pPr>
        <w:numPr>
          <w:ilvl w:val="1"/>
          <w:numId w:val="1016"/>
        </w:numPr>
        <w:pStyle w:val="Compact"/>
      </w:pPr>
      <w:r>
        <w:t xml:space="preserve">Disposed Portion (40%): 0.7 kg × 0.40 = 0.28 kg</w:t>
      </w:r>
    </w:p>
    <w:p>
      <w:pPr>
        <w:numPr>
          <w:ilvl w:val="1"/>
          <w:numId w:val="1016"/>
        </w:numPr>
        <w:pStyle w:val="Compact"/>
      </w:pPr>
      <w:r>
        <w:t xml:space="preserve">Disposal Emissions (Landfill): 0.28 kg × 0.5 kg CO2e/kg = 0.14 kg CO2e</w:t>
      </w:r>
    </w:p>
    <w:p>
      <w:pPr>
        <w:numPr>
          <w:ilvl w:val="1"/>
          <w:numId w:val="1016"/>
        </w:numPr>
        <w:pStyle w:val="Compact"/>
      </w:pPr>
      <w:r>
        <w:t xml:space="preserve">Net EoL Emissions: 0.14 - 0.42 = -0.28 kg CO2e</w:t>
      </w:r>
    </w:p>
    <w:p>
      <w:pPr>
        <w:pStyle w:val="FirstParagraph"/>
      </w:pPr>
      <w:r>
        <w:rPr>
          <w:bCs/>
          <w:b/>
        </w:rPr>
        <w:t xml:space="preserve">Total Downstream Scope 3 Emissions: 0.17255 + 3.0 + (-0.28) = 2.89255 kg CO2e</w:t>
      </w:r>
    </w:p>
    <w:bookmarkEnd w:id="38"/>
    <w:bookmarkEnd w:id="39"/>
    <w:bookmarkStart w:id="40" w:name="Xe5d05a121aa52d02c8d86a52227cfc796207845"/>
    <w:p>
      <w:pPr>
        <w:pStyle w:val="Heading3"/>
      </w:pPr>
      <w:r>
        <w:t xml:space="preserve">4.4. Summary of Product Carbon Footprint (PCF)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(Operational)</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0.298</w:t>
            </w:r>
          </w:p>
        </w:tc>
        <w:tc>
          <w:tcPr/>
          <w:p>
            <w:pPr>
              <w:pStyle w:val="Compact"/>
              <w:jc w:val="left"/>
            </w:pPr>
            <w:r>
              <w:t xml:space="preserve">3.64%</w:t>
            </w:r>
          </w:p>
        </w:tc>
      </w:tr>
      <w:tr>
        <w:tc>
          <w:tcPr>
            <w:vMerge w:val="restart"/>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4.725</w:t>
            </w:r>
          </w:p>
        </w:tc>
        <w:tc>
          <w:tcPr/>
          <w:p>
            <w:pPr>
              <w:pStyle w:val="Compact"/>
              <w:jc w:val="left"/>
            </w:pPr>
            <w:r>
              <w:t xml:space="preserve">57.65%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0.280</w:t>
            </w:r>
          </w:p>
        </w:tc>
        <w:tc>
          <w:tcPr/>
          <w:p>
            <w:pPr>
              <w:pStyle w:val="Compact"/>
              <w:jc w:val="left"/>
            </w:pPr>
            <w:r>
              <w:t xml:space="preserve">3.42%</w:t>
            </w:r>
          </w:p>
        </w:tc>
      </w:tr>
      <w:tr>
        <w:tc>
          <w:tcPr>
            <w:gridSpan w:val="2"/>
          </w:tcPr>
          <w:p>
            <w:pPr>
              <w:pStyle w:val="Compact"/>
              <w:jc w:val="left"/>
            </w:pPr>
            <w:r>
              <w:t xml:space="preserve">Subtotal Upstream Scope 3</w:t>
            </w:r>
          </w:p>
        </w:tc>
        <w:tc>
          <w:tcPr/>
          <w:p>
            <w:pPr>
              <w:pStyle w:val="Compact"/>
              <w:jc w:val="left"/>
            </w:pPr>
            <w:r>
              <w:t xml:space="preserve">5.005</w:t>
            </w:r>
          </w:p>
        </w:tc>
        <w:tc>
          <w:tcPr/>
          <w:p>
            <w:pPr>
              <w:pStyle w:val="Compact"/>
              <w:jc w:val="left"/>
            </w:pPr>
            <w:r>
              <w:t xml:space="preserve">61.07%</w:t>
            </w:r>
          </w:p>
        </w:tc>
      </w:tr>
      <w:tr>
        <w:tc>
          <w:tcPr>
            <w:vMerge w:val="restart"/>
          </w:tcPr>
          <w:p>
            <w:pPr>
              <w:pStyle w:val="Compact"/>
              <w:jc w:val="left"/>
            </w:pPr>
            <w:r>
              <w:t xml:space="preserve">Scope 3 (Downstream)</w:t>
            </w:r>
          </w:p>
        </w:tc>
        <w:tc>
          <w:tcPr/>
          <w:p>
            <w:pPr>
              <w:pStyle w:val="Compact"/>
              <w:jc w:val="left"/>
            </w:pPr>
            <w:r>
              <w:t xml:space="preserve">Downstream Transportation &amp; Distribution</w:t>
            </w:r>
          </w:p>
        </w:tc>
        <w:tc>
          <w:tcPr/>
          <w:p>
            <w:pPr>
              <w:pStyle w:val="Compact"/>
              <w:jc w:val="left"/>
            </w:pPr>
            <w:r>
              <w:t xml:space="preserve">0.173</w:t>
            </w:r>
          </w:p>
        </w:tc>
        <w:tc>
          <w:tcPr/>
          <w:p>
            <w:pPr>
              <w:pStyle w:val="Compact"/>
              <w:jc w:val="left"/>
            </w:pPr>
            <w:r>
              <w:t xml:space="preserve">2.11%</w:t>
            </w:r>
          </w:p>
        </w:tc>
      </w:tr>
      <w:tr>
        <w:tc>
          <w:tcPr>
            <w:gridSpan w:val="1"/>
            <w:vMerge w:val="continue"/>
          </w:tcPr>
          <w:p>
            <w:pPr/>
          </w:p>
        </w:tc>
        <w:tc>
          <w:tcPr/>
          <w:p>
            <w:pPr>
              <w:pStyle w:val="Compact"/>
              <w:jc w:val="left"/>
            </w:pPr>
            <w:r>
              <w:t xml:space="preserve">Use Phase</w:t>
            </w:r>
          </w:p>
        </w:tc>
        <w:tc>
          <w:tcPr/>
          <w:p>
            <w:pPr>
              <w:pStyle w:val="Compact"/>
              <w:jc w:val="left"/>
            </w:pPr>
            <w:r>
              <w:t xml:space="preserve">3.000</w:t>
            </w:r>
          </w:p>
        </w:tc>
        <w:tc>
          <w:tcPr/>
          <w:p>
            <w:pPr>
              <w:pStyle w:val="Compact"/>
              <w:jc w:val="left"/>
            </w:pPr>
            <w:r>
              <w:t xml:space="preserve">36.61%</w:t>
            </w:r>
          </w:p>
        </w:tc>
      </w:tr>
      <w:tr>
        <w:tc>
          <w:tcPr>
            <w:gridSpan w:val="1"/>
            <w:vMerge w:val="continue"/>
          </w:tcPr>
          <w:p>
            <w:pPr/>
          </w:p>
        </w:tc>
        <w:tc>
          <w:tcPr/>
          <w:p>
            <w:pPr>
              <w:pStyle w:val="Compact"/>
              <w:jc w:val="left"/>
            </w:pPr>
            <w:r>
              <w:t xml:space="preserve">End-of-Life Treatment</w:t>
            </w:r>
          </w:p>
        </w:tc>
        <w:tc>
          <w:tcPr/>
          <w:p>
            <w:pPr>
              <w:pStyle w:val="Compact"/>
              <w:jc w:val="left"/>
            </w:pPr>
            <w:r>
              <w:t xml:space="preserve">-0.280</w:t>
            </w:r>
          </w:p>
        </w:tc>
        <w:tc>
          <w:tcPr/>
          <w:p>
            <w:pPr>
              <w:pStyle w:val="Compact"/>
              <w:jc w:val="left"/>
            </w:pPr>
            <w:r>
              <w:t xml:space="preserve">-3.42%</w:t>
            </w:r>
          </w:p>
        </w:tc>
      </w:tr>
      <w:tr>
        <w:tc>
          <w:tcPr>
            <w:gridSpan w:val="2"/>
          </w:tcPr>
          <w:p>
            <w:pPr>
              <w:pStyle w:val="Compact"/>
              <w:jc w:val="left"/>
            </w:pPr>
            <w:r>
              <w:t xml:space="preserve">Subtotal Downstream Scope 3</w:t>
            </w:r>
          </w:p>
        </w:tc>
        <w:tc>
          <w:tcPr/>
          <w:p>
            <w:pPr>
              <w:pStyle w:val="Compact"/>
              <w:jc w:val="left"/>
            </w:pPr>
            <w:r>
              <w:t xml:space="preserve">2.893</w:t>
            </w:r>
          </w:p>
        </w:tc>
        <w:tc>
          <w:tcPr/>
          <w:p>
            <w:pPr>
              <w:pStyle w:val="Compact"/>
              <w:jc w:val="left"/>
            </w:pPr>
            <w:r>
              <w:t xml:space="preserve">35.30%</w:t>
            </w:r>
          </w:p>
        </w:tc>
      </w:tr>
      <w:tr>
        <w:tc>
          <w:tcPr>
            <w:gridSpan w:val="2"/>
          </w:tcPr>
          <w:p>
            <w:pPr>
              <w:pStyle w:val="Compact"/>
              <w:jc w:val="right"/>
            </w:pPr>
            <w:r>
              <w:t xml:space="preserve">TOTAL PRODUCT CARBON FOOTPRINT (PCF)</w:t>
            </w:r>
          </w:p>
        </w:tc>
        <w:tc>
          <w:tcPr/>
          <w:p>
            <w:pPr>
              <w:pStyle w:val="Compact"/>
              <w:jc w:val="left"/>
            </w:pPr>
            <w:r>
              <w:t xml:space="preserve">8.196</w:t>
            </w:r>
          </w:p>
        </w:tc>
        <w:tc>
          <w:tcPr/>
          <w:p>
            <w:pPr>
              <w:pStyle w:val="Compact"/>
              <w:jc w:val="left"/>
            </w:pPr>
            <w:r>
              <w:t xml:space="preserve">100.00%</w:t>
            </w:r>
          </w:p>
        </w:tc>
      </w:tr>
    </w:tbl>
    <w:p>
      <w:pPr>
        <w:pStyle w:val="BodyText"/>
      </w:pPr>
      <w:r>
        <w:rPr>
          <w:iCs/>
          <w:i/>
        </w:rPr>
        <w:t xml:space="preserve">Note: Minor rounding differences may occur in percentages and totals.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identifies the following key emission hotspots for ojgeszehun:</w:t>
      </w:r>
    </w:p>
    <w:p>
      <w:pPr>
        <w:numPr>
          <w:ilvl w:val="0"/>
          <w:numId w:val="1017"/>
        </w:numPr>
        <w:pStyle w:val="Compact"/>
      </w:pPr>
      <w:r>
        <w:rPr>
          <w:bCs/>
          <w:b/>
        </w:rPr>
        <w:t xml:space="preserve">Materials Acquisition (57.65%):</w:t>
      </w:r>
      <w:r>
        <w:t xml:space="preserve"> </w:t>
      </w:r>
      <w:r>
        <w:t xml:space="preserve">The largest portion of the PCF comes from the extraction and processing of raw materials, particularly aluminum, electronics, and lithium-ion cells. This highlights the high embodied carbon in specific components.</w:t>
      </w:r>
    </w:p>
    <w:p>
      <w:pPr>
        <w:numPr>
          <w:ilvl w:val="0"/>
          <w:numId w:val="1017"/>
        </w:numPr>
        <w:pStyle w:val="Compact"/>
      </w:pPr>
      <w:r>
        <w:rPr>
          <w:bCs/>
          <w:b/>
        </w:rPr>
        <w:t xml:space="preserve">Use Phase (36.61%):</w:t>
      </w:r>
      <w:r>
        <w:t xml:space="preserve"> </w:t>
      </w:r>
      <w:r>
        <w:t xml:space="preserve">The energy consumed by the product during its 3-year lifespan contributes significantly to the overall footprint. This suggests that user behavior and the carbon intensity of electricity grids where the product is used are critical factors.</w:t>
      </w:r>
    </w:p>
    <w:p>
      <w:pPr>
        <w:numPr>
          <w:ilvl w:val="0"/>
          <w:numId w:val="1017"/>
        </w:numPr>
        <w:pStyle w:val="Compact"/>
      </w:pPr>
      <w:r>
        <w:rPr>
          <w:bCs/>
          <w:b/>
        </w:rPr>
        <w:t xml:space="preserve">Production (3.64%):</w:t>
      </w:r>
      <w:r>
        <w:t xml:space="preserve"> </w:t>
      </w:r>
      <w:r>
        <w:t xml:space="preserve">While smaller than materials and use phase, the electricity consumed during manufacturing is still a notable area, especially given China\'s grid emission factor.</w:t>
      </w:r>
    </w:p>
    <w:bookmarkEnd w:id="42"/>
    <w:bookmarkStart w:id="43" w:name="reliability-and-assumptions"/>
    <w:p>
      <w:pPr>
        <w:pStyle w:val="Heading3"/>
      </w:pPr>
      <w:r>
        <w:t xml:space="preserve">5.2. Reliability and Assumptions</w:t>
      </w:r>
    </w:p>
    <w:p>
      <w:pPr>
        <w:pStyle w:val="FirstParagraph"/>
      </w:pPr>
      <w:r>
        <w:t xml:space="preserve">The reliability of this report is high, utilizing specific company parameters and industry-standard emission factors. However, certain assumptions were necessary where detailed primary data was not provided:</w:t>
      </w:r>
    </w:p>
    <w:p>
      <w:pPr>
        <w:numPr>
          <w:ilvl w:val="0"/>
          <w:numId w:val="1018"/>
        </w:numPr>
        <w:pStyle w:val="Compact"/>
      </w:pPr>
      <w:r>
        <w:t xml:space="preserve">Specific numerical values were assumed for abstract parameters such as \'Select Mode\', \'fwwzhsqzxj\', \'Delivery Type\', \'qkgswznmuz\', \'opflgyoego\', \'poylxedxto\', \'ygiqnuptdw\', \'kyomwitjdq\', and \'nnvqeolmuz\' to facilitate calculation, with plausible values consistent with the product and geographic scope.</w:t>
      </w:r>
    </w:p>
    <w:p>
      <w:pPr>
        <w:numPr>
          <w:ilvl w:val="0"/>
          <w:numId w:val="1018"/>
        </w:numPr>
        <w:pStyle w:val="Compact"/>
      </w:pPr>
      <w:r>
        <w:t xml:space="preserve">Generic industry average emission factors (e.g., for specific transport modes and electricity grids) were used from reputable databases (e.g., IEA, BEIS, GLEC) where product-specific factors were unavailable.</w:t>
      </w:r>
    </w:p>
    <w:p>
      <w:pPr>
        <w:numPr>
          <w:ilvl w:val="0"/>
          <w:numId w:val="1018"/>
        </w:numPr>
        <w:pStyle w:val="Compact"/>
      </w:pPr>
      <w:r>
        <w:t xml:space="preserve">The composition of \'mixed waste\' for end-of-life calculations and associated recycling credits were based on general industry averages, providing a reasonable estimation.</w:t>
      </w:r>
    </w:p>
    <w:p>
      <w:pPr>
        <w:numPr>
          <w:ilvl w:val="0"/>
          <w:numId w:val="1018"/>
        </w:numPr>
        <w:pStyle w:val="Compact"/>
      </w:pPr>
      <w:r>
        <w:t xml:space="preserve">The interpretation of the 2026 LSR Standard for this product assumes indirect impacts via material supply chains, as direct land-use change is not typically a significant factor for manufactured goods unless specifically bio-based.</w:t>
      </w:r>
    </w:p>
    <w:bookmarkEnd w:id="43"/>
    <w:bookmarkStart w:id="44"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vhqlpkrzzl</w:t>
      </w:r>
      <w:r>
        <w:t xml:space="preserve"> </w:t>
      </w:r>
      <w:r>
        <w:t xml:space="preserve">can focus on the following strategies to reduce the carbon footprint of</w:t>
      </w:r>
      <w:r>
        <w:t xml:space="preserve"> </w:t>
      </w:r>
      <w:r>
        <w:rPr>
          <w:bCs/>
          <w:b/>
        </w:rPr>
        <w:t xml:space="preserve">ojgeszehun</w:t>
      </w:r>
      <w:r>
        <w:t xml:space="preserve">:</w:t>
      </w:r>
    </w:p>
    <w:p>
      <w:pPr>
        <w:numPr>
          <w:ilvl w:val="0"/>
          <w:numId w:val="1019"/>
        </w:numPr>
        <w:pStyle w:val="Compact"/>
      </w:pPr>
      <w:r>
        <w:rPr>
          <w:bCs/>
          <w:b/>
        </w:rPr>
        <w:t xml:space="preserve">Material Optimization:</w:t>
      </w:r>
      <w:r>
        <w:t xml:space="preserve"> </w:t>
      </w:r>
      <w:r>
        <w:t xml:space="preserve">Investigate opportunities for using lower-carbon materials, increasing recycled content in components like aluminum and plastics, or redesigning the product to reduce material intensity. Collaborate with suppliers to source materials with verified lower embodied carbon.</w:t>
      </w:r>
    </w:p>
    <w:p>
      <w:pPr>
        <w:numPr>
          <w:ilvl w:val="0"/>
          <w:numId w:val="1019"/>
        </w:numPr>
        <w:pStyle w:val="Compact"/>
      </w:pPr>
      <w:r>
        <w:rPr>
          <w:bCs/>
          <w:b/>
        </w:rPr>
        <w:t xml:space="preserve">Energy Efficiency in Use Phase:</w:t>
      </w:r>
      <w:r>
        <w:t xml:space="preserve"> </w:t>
      </w:r>
      <w:r>
        <w:t xml:space="preserve">Explore design improvements to reduce the product\'s energy consumption during its lifespan (e.g., more efficient components, sleep modes). Educate users on energy-saving practices.</w:t>
      </w:r>
    </w:p>
    <w:p>
      <w:pPr>
        <w:numPr>
          <w:ilvl w:val="0"/>
          <w:numId w:val="1019"/>
        </w:numPr>
        <w:pStyle w:val="Compact"/>
      </w:pPr>
      <w:r>
        <w:rPr>
          <w:bCs/>
          <w:b/>
        </w:rPr>
        <w:t xml:space="preserve">Renewable Energy in Production:</w:t>
      </w:r>
      <w:r>
        <w:t xml:space="preserve"> </w:t>
      </w:r>
      <w:r>
        <w:t xml:space="preserve">Increase the proportion of renewable energy used in the manufacturing facilities in China beyond the current 40% (qkgswznmuz) through on-site generation or purchasing renewable energy certificates.</w:t>
      </w:r>
    </w:p>
    <w:p>
      <w:pPr>
        <w:numPr>
          <w:ilvl w:val="0"/>
          <w:numId w:val="1019"/>
        </w:numPr>
        <w:pStyle w:val="Compact"/>
      </w:pPr>
      <w:r>
        <w:rPr>
          <w:bCs/>
          <w:b/>
        </w:rPr>
        <w:t xml:space="preserve">Circular Economy Initiatives:</w:t>
      </w:r>
      <w:r>
        <w:t xml:space="preserve"> </w:t>
      </w:r>
      <w:r>
        <w:t xml:space="preserve">Expand and promote take-back schemes (nnvqeolmuz) to maximize the recycling rate (kyomwitjdq) beyond 60% and explore opportunities for repairability, refurbishment, and remanufacturing to extend product lifespan.</w:t>
      </w:r>
    </w:p>
    <w:p>
      <w:pPr>
        <w:numPr>
          <w:ilvl w:val="0"/>
          <w:numId w:val="1019"/>
        </w:numPr>
        <w:pStyle w:val="Compact"/>
      </w:pPr>
      <w:r>
        <w:rPr>
          <w:bCs/>
          <w:b/>
        </w:rPr>
        <w:t xml:space="preserve">Supply Chain Engagement:</w:t>
      </w:r>
      <w:r>
        <w:t xml:space="preserve"> </w:t>
      </w:r>
      <w:r>
        <w:t xml:space="preserve">Work with logistics partners to optimize transport routes, prioritize more efficient modes (e.g., rail over road where feasible), and encourage the use of lower-emission fuels or electric vehicles in the supply chain.</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ojgeszehun</dc:title>
  <dc:creator/>
  <dc:description>High-detail Product Carbon Footprint (PCF) analysis for ojgeszehun by zknsvwmlns, Senior Sustainability Consultant, for vhqlpkrzzl, adhering to GHG Protocol and 2026 LSR Update requirements.</dc:description>
  <dc:language>en</dc:language>
  <cp:keywords/>
  <dcterms:created xsi:type="dcterms:W3CDTF">2026-05-30T19:23:31Z</dcterms:created>
  <dcterms:modified xsi:type="dcterms:W3CDTF">2026-05-30T19:23:31Z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