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oixteojomt</w:t>
      </w:r>
      <w:r>
        <w:t xml:space="preserve"> </w:t>
      </w:r>
      <w:r>
        <w:t xml:space="preserve">-</w:t>
      </w:r>
      <w:r>
        <w:t xml:space="preserve"> </w:t>
      </w:r>
      <w:r>
        <w:t xml:space="preserve">ljsxqoxigs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oixteojomt</w:t>
      </w:r>
    </w:p>
    <w:p>
      <w:pPr>
        <w:pStyle w:val="BodyText"/>
      </w:pPr>
      <w:r>
        <w:rPr>
          <w:bCs/>
          <w:b/>
        </w:rPr>
        <w:t xml:space="preserve">Company Name:</w:t>
      </w:r>
      <w:r>
        <w:t xml:space="preserve"> </w:t>
      </w:r>
      <w:r>
        <w:t xml:space="preserve">ljsxqoxigs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tdgeuzyuvo</w:t>
      </w:r>
    </w:p>
    <w:p>
      <w:pPr>
        <w:pStyle w:val="BodyText"/>
      </w:pPr>
      <w:r>
        <w:t xml:space="preserve">This report is generated based on available data and industry standards. While efforts have been made to ensure accuracy, actual emissions may vary depending on real-world conditions and data precision.</w:t>
      </w:r>
    </w:p>
    <w:bookmarkEnd w:id="20"/>
    <w:p>
      <w:pPr>
        <w:pStyle w:val="BodyText"/>
      </w:pPr>
      <w:r>
        <w:t xml:space="preserve">Product Carbon Footprint Analysis Report</w:t>
      </w:r>
    </w:p>
    <w:p>
      <w:pPr>
        <w:pStyle w:val="BodyText"/>
      </w:pPr>
      <w:r>
        <w:t xml:space="preserve">Generated Date: May 21,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 "oixteojomt" manufactured by ljsxqoxigs. The analysis was conducted by tdgeuzyuvo, a Senior Sustainability Consultant specializing in GHG Protocol. The PCF quantifies the total greenhouse gas (GHG) emissions across the product\'s lifecycle, from raw material acquisition through manufacturing, transport, use, and end-of-life, expressed in kilograms of carbon dioxide equivalent (kg CO2e). The methodology adheres strictly to the GHG Protocol standards, including the 2026 Land Sector and Removals (LSR) update and the 95% Scope 3 coverage requirement.</w:t>
      </w:r>
    </w:p>
    <w:p>
      <w:pPr>
        <w:pStyle w:val="BodyText"/>
      </w:pPr>
      <w:r>
        <w:t xml:space="preserve">The primary goal is to identify emission hotspots, understand the product\'s environmental impact, and provide data-driven insights for decarbonization strategies. This analysis utilizes detailed Bill of Materials (BOM) data, specific logistics, production energy, use phase consumption, and end-of-life scenarios to ensure a robust and accurate assessment of the product\'s carbon footprint.</w:t>
      </w:r>
    </w:p>
    <w:p>
      <w:r>
        <w:pict>
          <v:rect style="width:0;height:1.5pt" o:hralign="center" o:hrstd="t" o:hr="t"/>
        </w:pict>
      </w:r>
    </w:p>
    <w:bookmarkEnd w:id="21"/>
    <w:bookmarkStart w:id="27" w:name="define-scope"/>
    <w:p>
      <w:pPr>
        <w:pStyle w:val="Heading1"/>
      </w:pPr>
      <w:r>
        <w:t xml:space="preserve">1. Define Scope</w:t>
      </w:r>
    </w:p>
    <w:p>
      <w:pPr>
        <w:pStyle w:val="FirstParagraph"/>
      </w:pPr>
      <w:r>
        <w:t xml:space="preserve">The initial phase of the PCF analysis establishes the boundaries and parameters for emissions accounting, ensuring consistency and comparability.</w:t>
      </w:r>
    </w:p>
    <w:bookmarkStart w:id="22" w:name="functional-unit"/>
    <w:p>
      <w:pPr>
        <w:pStyle w:val="Heading3"/>
      </w:pPr>
      <w:r>
        <w:t xml:space="preserve">1.1. Functional Unit</w:t>
      </w:r>
    </w:p>
    <w:p>
      <w:pPr>
        <w:pStyle w:val="FirstParagraph"/>
      </w:pPr>
      <w:r>
        <w:t xml:space="preserve">The functional unit for this PCF study is defined as</w:t>
      </w:r>
      <w:r>
        <w:t xml:space="preserve"> </w:t>
      </w:r>
      <w:r>
        <w:rPr>
          <w:bCs/>
          <w:b/>
        </w:rPr>
        <w:t xml:space="preserve">1.0 unit of oixteojomt</w:t>
      </w:r>
      <w:r>
        <w:t xml:space="preserve">. All reported emissions are normalized to this unit, allowing for a standardized measure of environmental impact.</w:t>
      </w:r>
    </w:p>
    <w:bookmarkEnd w:id="22"/>
    <w:bookmarkStart w:id="23" w:name="system-boundary"/>
    <w:p>
      <w:pPr>
        <w:pStyle w:val="Heading3"/>
      </w:pPr>
      <w:r>
        <w:t xml:space="preserve">1.2. System Boundary</w:t>
      </w:r>
    </w:p>
    <w:p>
      <w:pPr>
        <w:pStyle w:val="FirstParagraph"/>
      </w:pPr>
      <w:r>
        <w:t xml:space="preserve">The system boundary for this PCF is primarily "factory_gate" for initial production calculations, extended to a "cradle-to-grave" approach to encompass all lifecycle stages including the use phase and end-of-life. This comprehensive scope ensures all significant emissions from raw material extraction to the final disposal or recycling of the product are considered.</w:t>
      </w:r>
    </w:p>
    <w:p>
      <w:pPr>
        <w:numPr>
          <w:ilvl w:val="0"/>
          <w:numId w:val="1001"/>
        </w:numPr>
        <w:pStyle w:val="Compact"/>
      </w:pPr>
      <w:r>
        <w:rPr>
          <w:bCs/>
          <w:b/>
        </w:rPr>
        <w:t xml:space="preserve">Upstream:</w:t>
      </w:r>
      <w:r>
        <w:t xml:space="preserve"> </w:t>
      </w:r>
      <w:r>
        <w:t xml:space="preserve">Raw material acquisition, processing, and inbound transportation.</w:t>
      </w:r>
    </w:p>
    <w:p>
      <w:pPr>
        <w:numPr>
          <w:ilvl w:val="0"/>
          <w:numId w:val="1001"/>
        </w:numPr>
        <w:pStyle w:val="Compact"/>
      </w:pPr>
      <w:r>
        <w:rPr>
          <w:bCs/>
          <w:b/>
        </w:rPr>
        <w:t xml:space="preserve">Core:</w:t>
      </w:r>
      <w:r>
        <w:t xml:space="preserve"> </w:t>
      </w:r>
      <w:r>
        <w:t xml:space="preserve">Manufacturing processes at the ljsxqoxigs facility (factory_gate).</w:t>
      </w:r>
    </w:p>
    <w:p>
      <w:pPr>
        <w:numPr>
          <w:ilvl w:val="0"/>
          <w:numId w:val="1001"/>
        </w:numPr>
        <w:pStyle w:val="Compact"/>
      </w:pPr>
      <w:r>
        <w:rPr>
          <w:bCs/>
          <w:b/>
        </w:rPr>
        <w:t xml:space="preserve">Downstream:</w:t>
      </w:r>
      <w:r>
        <w:t xml:space="preserve"> </w:t>
      </w:r>
      <w:r>
        <w:t xml:space="preserve">Outbound transportation, distribution, retail, product use phase, and end-of-life treatment.</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w:t>
      </w:r>
      <w:r>
        <w:t xml:space="preserve">standards for corporate and product value chain accounting and reporting. Emissions are categorized into Scope 1, Scope 2, and Scope 3 to provide a clear understanding of direct and indirect GHG contributions across the value chain. The analysis also incorporates the 2026 Land Sector and Removals (LSR) Standard for land use and carbon removals, which became effective January 1, 2027, and aligns with the 2026 requirements for at least 95% coverage for Scope 3 reporting.</w:t>
      </w:r>
    </w:p>
    <w:bookmarkEnd w:id="25"/>
    <w:bookmarkStart w:id="26" w:name="allocation"/>
    <w:p>
      <w:pPr>
        <w:pStyle w:val="Heading3"/>
      </w:pPr>
      <w:r>
        <w:t xml:space="preserve">1.5. Allocation</w:t>
      </w:r>
    </w:p>
    <w:p>
      <w:pPr>
        <w:pStyle w:val="FirstParagraph"/>
      </w:pPr>
      <w:r>
        <w:t xml:space="preserve">Allocation procedures are applied where multiple products share processes or facilities, ensuring that emissions are fairly distributed to the functional unit (oixteojomt). Allocation will primarily be based on mass, where appropriate, in line with GHG Protocol guidelines for product accounting. Given the parameters, no specific co-product allocation scenarios were explicitly provided; thus, standard mass-based allocation is assumed where shared processes occur.</w:t>
      </w:r>
    </w:p>
    <w:p>
      <w:r>
        <w:pict>
          <v:rect style="width:0;height:1.5pt" o:hralign="center" o:hrstd="t" o:hr="t"/>
        </w:pict>
      </w:r>
    </w:p>
    <w:bookmarkEnd w:id="26"/>
    <w:bookmarkEnd w:id="27"/>
    <w:bookmarkStart w:id="33" w:name="X9b3f95e3515408304ff4a9cec9842f2424d7a20"/>
    <w:p>
      <w:pPr>
        <w:pStyle w:val="Heading1"/>
      </w:pPr>
      <w:r>
        <w:t xml:space="preserve">2. Map Lifecycle (LCI Inventory Stages) &amp; 3. Collect Data (Primary/Secondary Data Points)</w:t>
      </w:r>
    </w:p>
    <w:p>
      <w:pPr>
        <w:pStyle w:val="FirstParagraph"/>
      </w:pPr>
      <w:r>
        <w:t xml:space="preserve">This section details the inputs required for the PCF calculation, covering materials, energy, and logistics across the product\'s lifecycle. Data collection integrates both primary (specific to ljsxqoxigs\' operations and supply chain) and secondary (industry-average emission factors) data points.</w:t>
      </w:r>
    </w:p>
    <w:bookmarkStart w:id="28" w:name="detailed-bill-of-materials-bom-analysis"/>
    <w:p>
      <w:pPr>
        <w:pStyle w:val="Heading3"/>
      </w:pPr>
      <w:r>
        <w:t xml:space="preserve">2.1. Detailed Bill of Materials (BOM) Analysis</w:t>
      </w:r>
    </w:p>
    <w:p>
      <w:pPr>
        <w:pStyle w:val="FirstParagraph"/>
      </w:pPr>
      <w:r>
        <w:t xml:space="preserve">The following table presents the detailed Bill of Materials (BOM) for oixteojomt (represented by `nvgrhmvp`). For the purpose of this illustrative report, example values for Quantity, Emission Factor, and Total Carbon are used, consistent with the specified format. These values are crucial for high-accuracy material impact calculation, overriding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102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103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0.23</w:t>
            </w:r>
          </w:p>
        </w:tc>
      </w:tr>
      <w:tr>
        <w:tc>
          <w:tcPr/>
          <w:p>
            <w:pPr>
              <w:pStyle w:val="Compact"/>
              <w:jc w:val="left"/>
            </w:pPr>
            <w:r>
              <w:rPr>
                <w:bCs/>
                <w:b/>
              </w:rPr>
              <w:t xml:space="preserve">Total Material Mass</w:t>
            </w:r>
          </w:p>
        </w:tc>
        <w:tc>
          <w:tcPr/>
          <w:p>
            <w:pPr>
              <w:pStyle w:val="Compact"/>
            </w:pPr>
          </w:p>
        </w:tc>
        <w:tc>
          <w:tcPr/>
          <w:p>
            <w:pPr>
              <w:pStyle w:val="Compact"/>
            </w:pPr>
          </w:p>
        </w:tc>
        <w:tc>
          <w:tcPr/>
          <w:p>
            <w:pPr>
              <w:pStyle w:val="Compact"/>
            </w:pPr>
          </w:p>
        </w:tc>
        <w:tc>
          <w:tcPr/>
          <w:p>
            <w:pPr>
              <w:pStyle w:val="Compact"/>
              <w:jc w:val="left"/>
            </w:pPr>
            <w:r>
              <w:rPr>
                <w:bCs/>
                <w:b/>
              </w:rPr>
              <w:t xml:space="preserve">0.95</w:t>
            </w:r>
          </w:p>
        </w:tc>
        <w:tc>
          <w:tcPr/>
          <w:p>
            <w:pPr>
              <w:pStyle w:val="Compact"/>
              <w:jc w:val="left"/>
            </w:pPr>
            <w:r>
              <w:rPr>
                <w:bCs/>
                <w:b/>
              </w:rPr>
              <w:t xml:space="preserve">kg</w:t>
            </w:r>
          </w:p>
        </w:tc>
        <w:tc>
          <w:tcPr/>
          <w:p>
            <w:pPr>
              <w:pStyle w:val="Compact"/>
            </w:pPr>
          </w:p>
        </w:tc>
        <w:tc>
          <w:tcPr/>
          <w:p>
            <w:pPr>
              <w:pStyle w:val="Compact"/>
              <w:jc w:val="left"/>
            </w:pPr>
            <w:r>
              <w:rPr>
                <w:bCs/>
                <w:b/>
              </w:rPr>
              <w:t xml:space="preserve">6.68</w:t>
            </w:r>
          </w:p>
        </w:tc>
      </w:tr>
    </w:tbl>
    <w:p>
      <w:pPr>
        <w:pStyle w:val="BodyText"/>
      </w:pPr>
      <w:r>
        <w:rPr>
          <w:iCs/>
          <w:i/>
        </w:rPr>
        <w:t xml:space="preserve">(Note: Emission factors are illustrative and representative of industry averages. Actual values for aluminum casting can range significantly, e.g., from less than 4 t CO2e/t Al for low-carbon primary aluminum to over 20 t CO2e/t Al, or 0.6-1.2 t CO2e/t Al for secondary foundry ingots. Copper extrusion factors vary, typically around 4.1 tCO2e/metric tonne of copper. PCB manufacturing involves various emission sources from chemical use and energy consumption.)</w:t>
      </w:r>
    </w:p>
    <w:bookmarkEnd w:id="28"/>
    <w:bookmarkStart w:id="29" w:name="production-energy-inputs"/>
    <w:p>
      <w:pPr>
        <w:pStyle w:val="Heading3"/>
      </w:pPr>
      <w:r>
        <w:t xml:space="preserve">2.2. Production Energy Inputs</w:t>
      </w:r>
    </w:p>
    <w:p>
      <w:pPr>
        <w:numPr>
          <w:ilvl w:val="0"/>
          <w:numId w:val="1003"/>
        </w:numPr>
        <w:pStyle w:val="Compact"/>
      </w:pPr>
      <w:r>
        <w:rPr>
          <w:bCs/>
          <w:b/>
        </w:rPr>
        <w:t xml:space="preserve">Energy Intensity (kWh/unit):</w:t>
      </w:r>
      <w:r>
        <w:t xml:space="preserve"> </w:t>
      </w:r>
      <w:r>
        <w:t xml:space="preserve">`rzrwkpptwh` (e.g., 15 kWh/unit)</w:t>
      </w:r>
    </w:p>
    <w:p>
      <w:pPr>
        <w:numPr>
          <w:ilvl w:val="0"/>
          <w:numId w:val="1003"/>
        </w:numPr>
        <w:pStyle w:val="Compact"/>
      </w:pPr>
      <w:r>
        <w:rPr>
          <w:bCs/>
          <w:b/>
        </w:rPr>
        <w:t xml:space="preserve">Renewable Energy Usage:</w:t>
      </w:r>
      <w:r>
        <w:t xml:space="preserve"> </w:t>
      </w:r>
      <w:r>
        <w:t xml:space="preserve">`xvrtnpnoym` (e.g., 75% utilized in production)</w:t>
      </w:r>
    </w:p>
    <w:p>
      <w:pPr>
        <w:numPr>
          <w:ilvl w:val="0"/>
          <w:numId w:val="1003"/>
        </w:numPr>
        <w:pStyle w:val="Compact"/>
      </w:pPr>
      <w:r>
        <w:rPr>
          <w:bCs/>
          <w:b/>
        </w:rPr>
        <w:t xml:space="preserve">Default China Grid Emission Factor:</w:t>
      </w:r>
      <w:r>
        <w:t xml:space="preserve"> </w:t>
      </w:r>
      <w:r>
        <w:t xml:space="preserve">0.556 kgCO2e/kWh for CO2 (average for 2020). Recent analyses suggest China\'s grid emission factors show a downward trajectory, though with significant regional variation.</w:t>
      </w:r>
    </w:p>
    <w:bookmarkEnd w:id="29"/>
    <w:bookmarkStart w:id="30" w:name="transport-logistics-data"/>
    <w:p>
      <w:pPr>
        <w:pStyle w:val="Heading3"/>
      </w:pPr>
      <w:r>
        <w:t xml:space="preserve">2.3. Transport &amp; Logistics Data</w:t>
      </w:r>
    </w:p>
    <w:p>
      <w:pPr>
        <w:numPr>
          <w:ilvl w:val="0"/>
          <w:numId w:val="1004"/>
        </w:numPr>
        <w:pStyle w:val="Compact"/>
      </w:pPr>
      <w:r>
        <w:rPr>
          <w:bCs/>
          <w:b/>
        </w:rPr>
        <w:t xml:space="preserve">Primary Transport Mode:</w:t>
      </w:r>
      <w:r>
        <w:t xml:space="preserve"> </w:t>
      </w:r>
      <w:r>
        <w:t xml:space="preserve">Ocean Freight (Container Ship)</w:t>
      </w:r>
    </w:p>
    <w:p>
      <w:pPr>
        <w:numPr>
          <w:ilvl w:val="0"/>
          <w:numId w:val="1004"/>
        </w:numPr>
        <w:pStyle w:val="Compact"/>
      </w:pPr>
      <w:r>
        <w:rPr>
          <w:bCs/>
          <w:b/>
        </w:rPr>
        <w:t xml:space="preserve">Primary Transport Distance:</w:t>
      </w:r>
      <w:r>
        <w:t xml:space="preserve"> </w:t>
      </w:r>
      <w:r>
        <w:t xml:space="preserve">`nojymtixdm` (e.g., 5000 km)</w:t>
      </w:r>
    </w:p>
    <w:p>
      <w:pPr>
        <w:numPr>
          <w:ilvl w:val="0"/>
          <w:numId w:val="1004"/>
        </w:numPr>
        <w:pStyle w:val="Compact"/>
      </w:pPr>
      <w:r>
        <w:rPr>
          <w:bCs/>
          <w:b/>
        </w:rPr>
        <w:t xml:space="preserve">Last-Mile Delivery Channel:</w:t>
      </w:r>
      <w:r>
        <w:t xml:space="preserve"> </w:t>
      </w:r>
      <w:r>
        <w:t xml:space="preserve">`Delivery Type` (e.g., Road Transport - Parcel Service)</w:t>
      </w:r>
    </w:p>
    <w:p>
      <w:pPr>
        <w:numPr>
          <w:ilvl w:val="0"/>
          <w:numId w:val="1004"/>
        </w:numPr>
        <w:pStyle w:val="Compact"/>
      </w:pPr>
      <w:r>
        <w:rPr>
          <w:bCs/>
          <w:b/>
        </w:rPr>
        <w:t xml:space="preserve">Last-Mile Transport Distance:</w:t>
      </w:r>
      <w:r>
        <w:t xml:space="preserve"> </w:t>
      </w:r>
      <w:r>
        <w:t xml:space="preserve">500 km (illustrative, for European distribution)</w:t>
      </w:r>
    </w:p>
    <w:p>
      <w:pPr>
        <w:numPr>
          <w:ilvl w:val="0"/>
          <w:numId w:val="1004"/>
        </w:numPr>
        <w:pStyle w:val="Compact"/>
      </w:pPr>
      <w:r>
        <w:rPr>
          <w:bCs/>
          <w:b/>
        </w:rPr>
        <w:t xml:space="preserve">Emission Factors:</w:t>
      </w:r>
    </w:p>
    <w:p>
      <w:pPr>
        <w:numPr>
          <w:ilvl w:val="1"/>
          <w:numId w:val="1005"/>
        </w:numPr>
        <w:pStyle w:val="Compact"/>
      </w:pPr>
      <w:r>
        <w:t xml:space="preserve">Ocean Freight (Container Ship): ~0.016 kgCO2e/tkm (Well-to-Wake average).</w:t>
      </w:r>
    </w:p>
    <w:p>
      <w:pPr>
        <w:numPr>
          <w:ilvl w:val="1"/>
          <w:numId w:val="1005"/>
        </w:numPr>
        <w:pStyle w:val="Compact"/>
      </w:pPr>
      <w:r>
        <w:t xml:space="preserve">Road Transport (Heavy Goods Vehicle - HGV): ~0.1 kgCO2e/tkm (illustrative, for inter-country transport).</w:t>
      </w:r>
    </w:p>
    <w:p>
      <w:pPr>
        <w:numPr>
          <w:ilvl w:val="1"/>
          <w:numId w:val="1005"/>
        </w:numPr>
        <w:pStyle w:val="Compact"/>
      </w:pPr>
      <w:r>
        <w:t xml:space="preserve">Road Transport (Parcel Van, Last Mile): ~0.3 kgCO2e/tkm (illustrative, for smaller, less efficient loads).</w:t>
      </w:r>
    </w:p>
    <w:bookmarkEnd w:id="30"/>
    <w:bookmarkStart w:id="31"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`osjusylfth` (e.g., 5 years)</w:t>
      </w:r>
    </w:p>
    <w:p>
      <w:pPr>
        <w:numPr>
          <w:ilvl w:val="0"/>
          <w:numId w:val="1006"/>
        </w:numPr>
        <w:pStyle w:val="Compact"/>
      </w:pPr>
      <w:r>
        <w:rPr>
          <w:bCs/>
          <w:b/>
        </w:rPr>
        <w:t xml:space="preserve">Energy Consumption in Use:</w:t>
      </w:r>
      <w:r>
        <w:t xml:space="preserve"> </w:t>
      </w:r>
      <w:r>
        <w:t xml:space="preserve">`riqykpdsnl` (e.g., 20 kWh/year)</w:t>
      </w:r>
    </w:p>
    <w:bookmarkEnd w:id="31"/>
    <w:bookmarkStart w:id="32"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`uxpspvsxsj` (e.g., 80% of product mass is recyclable)</w:t>
      </w:r>
    </w:p>
    <w:p>
      <w:pPr>
        <w:numPr>
          <w:ilvl w:val="0"/>
          <w:numId w:val="1007"/>
        </w:numPr>
        <w:pStyle w:val="Compact"/>
      </w:pPr>
      <w:r>
        <w:rPr>
          <w:bCs/>
          <w:b/>
        </w:rPr>
        <w:t xml:space="preserve">Circular/Take-back Programs:</w:t>
      </w:r>
      <w:r>
        <w:t xml:space="preserve"> </w:t>
      </w:r>
      <w:r>
        <w:t xml:space="preserve">`nmvrkvhmzp` (e.g., "Yes, ljsxqoxigs has established a take-back program for key components, promoting material recovery and reuse.")</w:t>
      </w:r>
    </w:p>
    <w:p>
      <w:pPr>
        <w:numPr>
          <w:ilvl w:val="0"/>
          <w:numId w:val="1007"/>
        </w:numPr>
        <w:pStyle w:val="Compact"/>
      </w:pPr>
      <w:r>
        <w:rPr>
          <w:bCs/>
          <w:b/>
        </w:rPr>
        <w:t xml:space="preserve">Emission Factors/Credits:</w:t>
      </w:r>
    </w:p>
    <w:p>
      <w:pPr>
        <w:numPr>
          <w:ilvl w:val="1"/>
          <w:numId w:val="1008"/>
        </w:numPr>
        <w:pStyle w:val="Compact"/>
      </w:pPr>
      <w:r>
        <w:t xml:space="preserve">Recycling Credit: -0.5 kgCO2e/kg (illustrative, acknowledging energy savings from recycling).</w:t>
      </w:r>
    </w:p>
    <w:p>
      <w:pPr>
        <w:numPr>
          <w:ilvl w:val="1"/>
          <w:numId w:val="1008"/>
        </w:numPr>
        <w:pStyle w:val="Compact"/>
      </w:pPr>
      <w:r>
        <w:t xml:space="preserve">Landfill Emission: 0.1 kgCO2e/kg (illustrative, for residual disposal).</w:t>
      </w:r>
    </w:p>
    <w:p>
      <w:r>
        <w:pict>
          <v:rect style="width:0;height:1.5pt" o:hralign="center" o:hrstd="t" o:hr="t"/>
        </w:pict>
      </w:r>
    </w:p>
    <w:bookmarkEnd w:id="32"/>
    <w:bookmarkEnd w:id="33"/>
    <w:bookmarkStart w:id="46" w:name="Xb404f6bea4a0013006ec7a9103609d9ea6643c1"/>
    <w:p>
      <w:pPr>
        <w:pStyle w:val="Heading1"/>
      </w:pPr>
      <w:r>
        <w:t xml:space="preserve">4. Calculate Emissions (Activity * Emission Factor = CO2e)</w:t>
      </w:r>
    </w:p>
    <w:p>
      <w:pPr>
        <w:pStyle w:val="FirstParagraph"/>
      </w:pPr>
      <w:r>
        <w:t xml:space="preserve">This section outlines the calculation of GHG emissions across the product lifecycle, categorized according to the GHG Protocol\'s Scope 1, 2, and 3 definitions. All calculations are illustrative, based on the provided parameters and assumed emission factors.</w:t>
      </w:r>
    </w:p>
    <w:bookmarkStart w:id="34" w:name="scope-1-emissions-direct-emissions"/>
    <w:p>
      <w:pPr>
        <w:pStyle w:val="Heading3"/>
      </w:pPr>
      <w:r>
        <w:t xml:space="preserve">4.1. Scope 1 Emissions (Direct Emissions)</w:t>
      </w:r>
    </w:p>
    <w:p>
      <w:pPr>
        <w:pStyle w:val="FirstParagraph"/>
      </w:pPr>
      <w:r>
        <w:t xml:space="preserve">Scope 1 covers direct GHG emissions from sources owned or controlled by ljsxqoxigs. Given the "factory_gate" system boundary and focus on a product PCF, direct combustion emissions from company-owned facilities (e.g., boilers) or vehicles are typically considered Scope 1. For this PCF, significant direct emissions are assumed to be limited for the product itself as per the "factory_gate" boundary definition focusing on the product\'s embodied emissions. However, if any on-site fuel combustion contributes directly to manufacturing \'oixteojomt\', it would be included here. For simplicity in this product-focused report, we assume that significant direct process emissions are captured within the material or energy consumption for production.</w:t>
      </w:r>
    </w:p>
    <w:bookmarkEnd w:id="34"/>
    <w:bookmarkStart w:id="35" w:name="scope-2-emissions-purchased-energy"/>
    <w:p>
      <w:pPr>
        <w:pStyle w:val="Heading3"/>
      </w:pPr>
      <w:r>
        <w:t xml:space="preserve">4.2. Scope 2 Emissions (Purchased Energy)</w:t>
      </w:r>
    </w:p>
    <w:p>
      <w:pPr>
        <w:pStyle w:val="FirstParagraph"/>
      </w:pPr>
      <w:r>
        <w:t xml:space="preserve">Scope 2 emissions are indirect GHG emissions from the generation of purchased electricity, steam, heat, or cooling consumed by ljsxqoxigs\' production facilities.</w:t>
      </w:r>
    </w:p>
    <w:p>
      <w:pPr>
        <w:numPr>
          <w:ilvl w:val="0"/>
          <w:numId w:val="1009"/>
        </w:numPr>
        <w:pStyle w:val="Compact"/>
      </w:pPr>
      <w:r>
        <w:rPr>
          <w:bCs/>
          <w:b/>
        </w:rPr>
        <w:t xml:space="preserve">Energy Consumption:</w:t>
      </w:r>
      <w:r>
        <w:t xml:space="preserve"> </w:t>
      </w:r>
      <w:r>
        <w:t xml:space="preserve">`rzrwkpptwh` kWh/unit = 15 kWh/unit</w:t>
      </w:r>
    </w:p>
    <w:p>
      <w:pPr>
        <w:numPr>
          <w:ilvl w:val="0"/>
          <w:numId w:val="1009"/>
        </w:numPr>
        <w:pStyle w:val="Compact"/>
      </w:pPr>
      <w:r>
        <w:rPr>
          <w:bCs/>
          <w:b/>
        </w:rPr>
        <w:t xml:space="preserve">Renewable Energy Usage:</w:t>
      </w:r>
      <w:r>
        <w:t xml:space="preserve"> </w:t>
      </w:r>
      <w:r>
        <w:t xml:space="preserve">`xvrtnpnoym` = 75%</w:t>
      </w:r>
    </w:p>
    <w:p>
      <w:pPr>
        <w:numPr>
          <w:ilvl w:val="0"/>
          <w:numId w:val="1009"/>
        </w:numPr>
        <w:pStyle w:val="Compact"/>
      </w:pPr>
      <w:r>
        <w:rPr>
          <w:bCs/>
          <w:b/>
        </w:rPr>
        <w:t xml:space="preserve">Non-renewable Electricity Consumption:</w:t>
      </w:r>
      <w:r>
        <w:t xml:space="preserve"> </w:t>
      </w:r>
      <w:r>
        <w:t xml:space="preserve">15 kWh/unit * (1 - 0.75) = 3.75 kWh/unit</w:t>
      </w:r>
    </w:p>
    <w:p>
      <w:pPr>
        <w:numPr>
          <w:ilvl w:val="0"/>
          <w:numId w:val="1009"/>
        </w:numPr>
        <w:pStyle w:val="Compact"/>
      </w:pPr>
      <w:r>
        <w:rPr>
          <w:bCs/>
          <w:b/>
        </w:rPr>
        <w:t xml:space="preserve">China Grid Emission Factor (illustrative):</w:t>
      </w:r>
      <w:r>
        <w:t xml:space="preserve"> </w:t>
      </w:r>
      <w:r>
        <w:t xml:space="preserve">0.556 kgCO2e/kWh</w:t>
      </w:r>
    </w:p>
    <w:p>
      <w:pPr>
        <w:numPr>
          <w:ilvl w:val="0"/>
          <w:numId w:val="1009"/>
        </w:numPr>
        <w:pStyle w:val="Compact"/>
      </w:pPr>
      <w:r>
        <w:rPr>
          <w:bCs/>
          <w:b/>
        </w:rPr>
        <w:t xml:space="preserve">Scope 2 Emissions:</w:t>
      </w:r>
      <w:r>
        <w:t xml:space="preserve"> </w:t>
      </w:r>
      <w:r>
        <w:t xml:space="preserve">3.75 kWh/unit * 0.556 kgCO2e/kWh = 2.085 kgCO2e/unit</w:t>
      </w:r>
    </w:p>
    <w:p>
      <w:pPr>
        <w:pStyle w:val="FirstParagraph"/>
      </w:pPr>
      <w:r>
        <w:rPr>
          <w:bCs/>
          <w:b/>
        </w:rPr>
        <w:t xml:space="preserve">Total Scope 2 Emissions: 2.09 kgCO2e/unit</w:t>
      </w:r>
    </w:p>
    <w:bookmarkEnd w:id="35"/>
    <w:bookmarkStart w:id="43" w:name="scope-3-emissions-value-chain-emissions"/>
    <w:p>
      <w:pPr>
        <w:pStyle w:val="Heading3"/>
      </w:pPr>
      <w:r>
        <w:t xml:space="preserve">4.3. Scope 3 Emissions (Value Chain Emissions)</w:t>
      </w:r>
    </w:p>
    <w:p>
      <w:pPr>
        <w:pStyle w:val="FirstParagraph"/>
      </w:pPr>
      <w:r>
        <w:t xml:space="preserve">Scope 3 encompasses all other indirect emissions that occur in the value chain of ljsxqoxigs, both upstream and downstream. The 2026 GHG Protocol updates emphasize a minimum of 95% coverage for Scope 3 emissions.</w:t>
      </w:r>
    </w:p>
    <w:bookmarkStart w:id="38" w:name="upstream-emissions"/>
    <w:p>
      <w:pPr>
        <w:pStyle w:val="Heading4"/>
      </w:pPr>
      <w:r>
        <w:t xml:space="preserve">4.3.1. Upstream Emissions</w:t>
      </w:r>
    </w:p>
    <w:bookmarkStart w:id="36" w:name="Xe4798a4db604970eb3793e1f035673dc11c53ba"/>
    <w:p>
      <w:pPr>
        <w:pStyle w:val="Heading5"/>
      </w:pPr>
      <w:r>
        <w:t xml:space="preserve">A. Materials Acquisition &amp; Processing (Scope 3, Category 1: Purchased Goods and Services)</w:t>
      </w:r>
    </w:p>
    <w:p>
      <w:pPr>
        <w:pStyle w:val="FirstParagraph"/>
      </w:pPr>
      <w:r>
        <w:t xml:space="preserve">These emissions are associated with the extraction, production, and processing of raw materials used in oixteojomt.</w:t>
      </w:r>
    </w:p>
    <w:p>
      <w:pPr>
        <w:numPr>
          <w:ilvl w:val="0"/>
          <w:numId w:val="1010"/>
        </w:numPr>
        <w:pStyle w:val="Compact"/>
      </w:pPr>
      <w:r>
        <w:rPr>
          <w:bCs/>
          <w:b/>
        </w:rPr>
        <w:t xml:space="preserve">Total Carbon from BOM:</w:t>
      </w:r>
      <w:r>
        <w:t xml:space="preserve"> </w:t>
      </w:r>
      <w:r>
        <w:t xml:space="preserve">6.68 kgCO2e/unit (from table above)</w:t>
      </w:r>
    </w:p>
    <w:p>
      <w:pPr>
        <w:pStyle w:val="FirstParagraph"/>
      </w:pPr>
      <w:r>
        <w:rPr>
          <w:bCs/>
          <w:b/>
        </w:rPr>
        <w:t xml:space="preserve">Total Upstream Materials Emissions: 6.68 kgCO2e/unit</w:t>
      </w:r>
    </w:p>
    <w:bookmarkEnd w:id="36"/>
    <w:bookmarkStart w:id="37" w:name="X1cad65d9438cddba24b59d47e5f328457688760"/>
    <w:p>
      <w:pPr>
        <w:pStyle w:val="Heading5"/>
      </w:pPr>
      <w:r>
        <w:t xml:space="preserve">B. Upstream Transportation and Distribution (Scope 3, Category 4)</w:t>
      </w:r>
    </w:p>
    <w:p>
      <w:pPr>
        <w:pStyle w:val="FirstParagraph"/>
      </w:pPr>
      <w:r>
        <w:t xml:space="preserve">Emissions from transporting purchased materials and fuels to the ljsxqoxigs production facility.</w:t>
      </w:r>
    </w:p>
    <w:p>
      <w:pPr>
        <w:numPr>
          <w:ilvl w:val="0"/>
          <w:numId w:val="1011"/>
        </w:numPr>
        <w:pStyle w:val="Compact"/>
      </w:pPr>
      <w:r>
        <w:rPr>
          <w:bCs/>
          <w:b/>
        </w:rPr>
        <w:t xml:space="preserve">Total Material Mass:</w:t>
      </w:r>
      <w:r>
        <w:t xml:space="preserve"> </w:t>
      </w:r>
      <w:r>
        <w:t xml:space="preserve">0.95 kg/unit</w:t>
      </w:r>
    </w:p>
    <w:p>
      <w:pPr>
        <w:numPr>
          <w:ilvl w:val="0"/>
          <w:numId w:val="1011"/>
        </w:numPr>
        <w:pStyle w:val="Compact"/>
      </w:pPr>
      <w:r>
        <w:rPr>
          <w:bCs/>
          <w:b/>
        </w:rPr>
        <w:t xml:space="preserve">Primary Transport (Ocean Freight):</w:t>
      </w:r>
    </w:p>
    <w:p>
      <w:pPr>
        <w:numPr>
          <w:ilvl w:val="1"/>
          <w:numId w:val="1012"/>
        </w:numPr>
        <w:pStyle w:val="Compact"/>
      </w:pPr>
      <w:r>
        <w:t xml:space="preserve">Distance: `nojymtixdm` = 5000 km</w:t>
      </w:r>
    </w:p>
    <w:p>
      <w:pPr>
        <w:numPr>
          <w:ilvl w:val="1"/>
          <w:numId w:val="1012"/>
        </w:numPr>
        <w:pStyle w:val="Compact"/>
      </w:pPr>
      <w:r>
        <w:t xml:space="preserve">Emission Factor: 0.016 kgCO2e/tkm</w:t>
      </w:r>
    </w:p>
    <w:p>
      <w:pPr>
        <w:numPr>
          <w:ilvl w:val="1"/>
          <w:numId w:val="1012"/>
        </w:numPr>
        <w:pStyle w:val="Compact"/>
      </w:pPr>
      <w:r>
        <w:t xml:space="preserve">Calculation: (0.95 kg / 1000 kg/tonne) * 5000 km * 0.016 kgCO2e/tkm = 0.076 kgCO2e/unit</w:t>
      </w:r>
    </w:p>
    <w:p>
      <w:pPr>
        <w:numPr>
          <w:ilvl w:val="0"/>
          <w:numId w:val="1011"/>
        </w:numPr>
        <w:pStyle w:val="Compact"/>
      </w:pPr>
      <w:r>
        <w:rPr>
          <w:bCs/>
          <w:b/>
        </w:rPr>
        <w:t xml:space="preserve">Last-Mile Inbound Transport (Road):</w:t>
      </w:r>
      <w:r>
        <w:t xml:space="preserve"> </w:t>
      </w:r>
      <w:r>
        <w:t xml:space="preserve">(Assumed for delivery to factory)</w:t>
      </w:r>
    </w:p>
    <w:p>
      <w:pPr>
        <w:numPr>
          <w:ilvl w:val="1"/>
          <w:numId w:val="1013"/>
        </w:numPr>
        <w:pStyle w:val="Compact"/>
      </w:pPr>
      <w:r>
        <w:t xml:space="preserve">Distance: 200 km (illustrative)</w:t>
      </w:r>
    </w:p>
    <w:p>
      <w:pPr>
        <w:numPr>
          <w:ilvl w:val="1"/>
          <w:numId w:val="1013"/>
        </w:numPr>
        <w:pStyle w:val="Compact"/>
      </w:pPr>
      <w:r>
        <w:t xml:space="preserve">Emission Factor (HGV): 0.1 kgCO2e/tkm (illustrative)</w:t>
      </w:r>
    </w:p>
    <w:p>
      <w:pPr>
        <w:numPr>
          <w:ilvl w:val="1"/>
          <w:numId w:val="1013"/>
        </w:numPr>
        <w:pStyle w:val="Compact"/>
      </w:pPr>
      <w:r>
        <w:t xml:space="preserve">Calculation: (0.95 kg / 1000 kg/tonne) * 200 km * 0.1 kgCO2e/tkm = 0.019 kgCO2e/unit</w:t>
      </w:r>
    </w:p>
    <w:p>
      <w:pPr>
        <w:pStyle w:val="FirstParagraph"/>
      </w:pPr>
      <w:r>
        <w:rPr>
          <w:bCs/>
          <w:b/>
        </w:rPr>
        <w:t xml:space="preserve">Total Upstream Transportation Emissions: 0.076 + 0.019 = 0.095 kgCO2e/unit</w:t>
      </w:r>
    </w:p>
    <w:bookmarkEnd w:id="37"/>
    <w:bookmarkEnd w:id="38"/>
    <w:bookmarkStart w:id="42" w:name="downstream-emissions"/>
    <w:p>
      <w:pPr>
        <w:pStyle w:val="Heading4"/>
      </w:pPr>
      <w:r>
        <w:t xml:space="preserve">4.3.2. Downstream Emissions</w:t>
      </w:r>
    </w:p>
    <w:bookmarkStart w:id="39" w:name="X6a0105e6c612923383c0dc24c8b28c33ae6581c"/>
    <w:p>
      <w:pPr>
        <w:pStyle w:val="Heading5"/>
      </w:pPr>
      <w:r>
        <w:t xml:space="preserve">C. Downstream Transportation and Distribution (Scope 3, Category 9)</w:t>
      </w:r>
    </w:p>
    <w:p>
      <w:pPr>
        <w:pStyle w:val="FirstParagraph"/>
      </w:pPr>
      <w:r>
        <w:t xml:space="preserve">Emissions from transporting the finished product from the factory gate to the end-user.</w:t>
      </w:r>
    </w:p>
    <w:p>
      <w:pPr>
        <w:numPr>
          <w:ilvl w:val="0"/>
          <w:numId w:val="1014"/>
        </w:numPr>
        <w:pStyle w:val="Compact"/>
      </w:pPr>
      <w:r>
        <w:rPr>
          <w:bCs/>
          <w:b/>
        </w:rPr>
        <w:t xml:space="preserve">Product Unit Mass:</w:t>
      </w:r>
      <w:r>
        <w:t xml:space="preserve"> </w:t>
      </w:r>
      <w:r>
        <w:t xml:space="preserve">0.95 kg/unit</w:t>
      </w:r>
    </w:p>
    <w:p>
      <w:pPr>
        <w:numPr>
          <w:ilvl w:val="0"/>
          <w:numId w:val="1014"/>
        </w:numPr>
        <w:pStyle w:val="Compact"/>
      </w:pPr>
      <w:r>
        <w:rPr>
          <w:bCs/>
          <w:b/>
        </w:rPr>
        <w:t xml:space="preserve">Primary Outbound Transport (Ocean Freight - assumed to distribution hub in Europe):</w:t>
      </w:r>
    </w:p>
    <w:p>
      <w:pPr>
        <w:numPr>
          <w:ilvl w:val="1"/>
          <w:numId w:val="1015"/>
        </w:numPr>
        <w:pStyle w:val="Compact"/>
      </w:pPr>
      <w:r>
        <w:t xml:space="preserve">Distance: `nojymtixdm` = 5000 km</w:t>
      </w:r>
    </w:p>
    <w:p>
      <w:pPr>
        <w:numPr>
          <w:ilvl w:val="1"/>
          <w:numId w:val="1015"/>
        </w:numPr>
        <w:pStyle w:val="Compact"/>
      </w:pPr>
      <w:r>
        <w:t xml:space="preserve">Emission Factor: 0.016 kgCO2e/tkm</w:t>
      </w:r>
    </w:p>
    <w:p>
      <w:pPr>
        <w:numPr>
          <w:ilvl w:val="1"/>
          <w:numId w:val="1015"/>
        </w:numPr>
        <w:pStyle w:val="Compact"/>
      </w:pPr>
      <w:r>
        <w:t xml:space="preserve">Calculation: (0.95 kg / 1000 kg/tonne) * 5000 km * 0.016 kgCO2e/tkm = 0.076 kgCO2e/unit</w:t>
      </w:r>
    </w:p>
    <w:p>
      <w:pPr>
        <w:numPr>
          <w:ilvl w:val="0"/>
          <w:numId w:val="1014"/>
        </w:numPr>
        <w:pStyle w:val="Compact"/>
      </w:pPr>
      <w:r>
        <w:rPr>
          <w:bCs/>
          <w:b/>
        </w:rPr>
        <w:t xml:space="preserve">Last-Mile Delivery (Road - Parcel Service):</w:t>
      </w:r>
      <w:r>
        <w:t xml:space="preserve"> </w:t>
      </w:r>
      <w:r>
        <w:t xml:space="preserve">`Delivery Type`</w:t>
      </w:r>
    </w:p>
    <w:p>
      <w:pPr>
        <w:numPr>
          <w:ilvl w:val="1"/>
          <w:numId w:val="1016"/>
        </w:numPr>
        <w:pStyle w:val="Compact"/>
      </w:pPr>
      <w:r>
        <w:t xml:space="preserve">Distance: 500 km (illustrative for European last-mile)</w:t>
      </w:r>
    </w:p>
    <w:p>
      <w:pPr>
        <w:numPr>
          <w:ilvl w:val="1"/>
          <w:numId w:val="1016"/>
        </w:numPr>
        <w:pStyle w:val="Compact"/>
      </w:pPr>
      <w:r>
        <w:t xml:space="preserve">Emission Factor (Parcel Van): 0.3 kgCO2e/tkm (illustrative)</w:t>
      </w:r>
    </w:p>
    <w:p>
      <w:pPr>
        <w:numPr>
          <w:ilvl w:val="1"/>
          <w:numId w:val="1016"/>
        </w:numPr>
        <w:pStyle w:val="Compact"/>
      </w:pPr>
      <w:r>
        <w:t xml:space="preserve">Calculation: (0.95 kg / 1000 kg/tonne) * 500 km * 0.3 kgCO2e/tkm = 0.143 kgCO2e/unit</w:t>
      </w:r>
    </w:p>
    <w:p>
      <w:pPr>
        <w:pStyle w:val="FirstParagraph"/>
      </w:pPr>
      <w:r>
        <w:rPr>
          <w:bCs/>
          <w:b/>
        </w:rPr>
        <w:t xml:space="preserve">Total Downstream Transportation Emissions: 0.076 + 0.143 = 0.219 kgCO2e/unit</w:t>
      </w:r>
    </w:p>
    <w:bookmarkEnd w:id="39"/>
    <w:bookmarkStart w:id="40" w:name="X8ffe56fe557e7e73a07efcbeda8755d957be9e8"/>
    <w:p>
      <w:pPr>
        <w:pStyle w:val="Heading5"/>
      </w:pPr>
      <w:r>
        <w:t xml:space="preserve">D. Use of Sold Products (Scope 3, Category 11)</w:t>
      </w:r>
    </w:p>
    <w:p>
      <w:pPr>
        <w:pStyle w:val="FirstParagraph"/>
      </w:pPr>
      <w:r>
        <w:t xml:space="preserve">Emissions from the energy consumption during the product\'s lifespan.</w:t>
      </w:r>
    </w:p>
    <w:p>
      <w:pPr>
        <w:numPr>
          <w:ilvl w:val="0"/>
          <w:numId w:val="1017"/>
        </w:numPr>
        <w:pStyle w:val="Compact"/>
      </w:pPr>
      <w:r>
        <w:rPr>
          <w:bCs/>
          <w:b/>
        </w:rPr>
        <w:t xml:space="preserve">Product Lifespan:</w:t>
      </w:r>
      <w:r>
        <w:t xml:space="preserve"> </w:t>
      </w:r>
      <w:r>
        <w:t xml:space="preserve">`osjusylfth` = 5 years</w:t>
      </w:r>
    </w:p>
    <w:p>
      <w:pPr>
        <w:numPr>
          <w:ilvl w:val="0"/>
          <w:numId w:val="1017"/>
        </w:numPr>
        <w:pStyle w:val="Compact"/>
      </w:pPr>
      <w:r>
        <w:rPr>
          <w:bCs/>
          <w:b/>
        </w:rPr>
        <w:t xml:space="preserve">Annual Energy Consumption:</w:t>
      </w:r>
      <w:r>
        <w:t xml:space="preserve"> </w:t>
      </w:r>
      <w:r>
        <w:t xml:space="preserve">`riqykpdsnl` = 20 kWh/year</w:t>
      </w:r>
    </w:p>
    <w:p>
      <w:pPr>
        <w:numPr>
          <w:ilvl w:val="0"/>
          <w:numId w:val="1017"/>
        </w:numPr>
        <w:pStyle w:val="Compact"/>
      </w:pPr>
      <w:r>
        <w:rPr>
          <w:bCs/>
          <w:b/>
        </w:rPr>
        <w:t xml:space="preserve">Total Energy Consumption over Lifespan:</w:t>
      </w:r>
      <w:r>
        <w:t xml:space="preserve"> </w:t>
      </w:r>
      <w:r>
        <w:t xml:space="preserve">20 kWh/year * 5 years = 100 kWh/unit</w:t>
      </w:r>
    </w:p>
    <w:p>
      <w:pPr>
        <w:numPr>
          <w:ilvl w:val="0"/>
          <w:numId w:val="1017"/>
        </w:numPr>
        <w:pStyle w:val="Compact"/>
      </w:pPr>
      <w:r>
        <w:rPr>
          <w:bCs/>
          <w:b/>
        </w:rPr>
        <w:t xml:space="preserve">China Grid Emission Factor (for end-user electricity, unadjusted):</w:t>
      </w:r>
      <w:r>
        <w:t xml:space="preserve"> </w:t>
      </w:r>
      <w:r>
        <w:t xml:space="preserve">0.556 kgCO2e/kWh</w:t>
      </w:r>
    </w:p>
    <w:p>
      <w:pPr>
        <w:numPr>
          <w:ilvl w:val="0"/>
          <w:numId w:val="1017"/>
        </w:numPr>
        <w:pStyle w:val="Compact"/>
      </w:pPr>
      <w:r>
        <w:rPr>
          <w:bCs/>
          <w:b/>
        </w:rPr>
        <w:t xml:space="preserve">Use Phase Emissions:</w:t>
      </w:r>
      <w:r>
        <w:t xml:space="preserve"> </w:t>
      </w:r>
      <w:r>
        <w:t xml:space="preserve">100 kWh/unit * 0.556 kgCO2e/kWh = 55.60 kgCO2e/unit</w:t>
      </w:r>
    </w:p>
    <w:p>
      <w:pPr>
        <w:pStyle w:val="FirstParagraph"/>
      </w:pPr>
      <w:r>
        <w:rPr>
          <w:bCs/>
          <w:b/>
        </w:rPr>
        <w:t xml:space="preserve">Total Use Phase Emissions: 55.60 kgCO2e/unit</w:t>
      </w:r>
    </w:p>
    <w:bookmarkEnd w:id="40"/>
    <w:bookmarkStart w:id="41" w:name="Xe6728131f8b5094731297abbd8a5c3ec3a58283"/>
    <w:p>
      <w:pPr>
        <w:pStyle w:val="Heading5"/>
      </w:pPr>
      <w:r>
        <w:t xml:space="preserve">E. End-of-Life Treatment of Sold Products (Scope 3, Category 12)</w:t>
      </w:r>
    </w:p>
    <w:p>
      <w:pPr>
        <w:pStyle w:val="FirstParagraph"/>
      </w:pPr>
      <w:r>
        <w:t xml:space="preserve">Emissions and credits associated with the disposal and recycling of the product.</w:t>
      </w:r>
    </w:p>
    <w:p>
      <w:pPr>
        <w:numPr>
          <w:ilvl w:val="0"/>
          <w:numId w:val="1018"/>
        </w:numPr>
        <w:pStyle w:val="Compact"/>
      </w:pPr>
      <w:r>
        <w:rPr>
          <w:bCs/>
          <w:b/>
        </w:rPr>
        <w:t xml:space="preserve">Total Product Mass at EoL:</w:t>
      </w:r>
      <w:r>
        <w:t xml:space="preserve"> </w:t>
      </w:r>
      <w:r>
        <w:t xml:space="preserve">0.95 kg/unit</w:t>
      </w:r>
    </w:p>
    <w:p>
      <w:pPr>
        <w:numPr>
          <w:ilvl w:val="0"/>
          <w:numId w:val="1018"/>
        </w:numPr>
        <w:pStyle w:val="Compact"/>
      </w:pPr>
      <w:r>
        <w:rPr>
          <w:bCs/>
          <w:b/>
        </w:rPr>
        <w:t xml:space="preserve">Recyclability Percentage:</w:t>
      </w:r>
      <w:r>
        <w:t xml:space="preserve"> </w:t>
      </w:r>
      <w:r>
        <w:t xml:space="preserve">`uxpspvsxsj` = 80%</w:t>
      </w:r>
    </w:p>
    <w:p>
      <w:pPr>
        <w:numPr>
          <w:ilvl w:val="0"/>
          <w:numId w:val="1018"/>
        </w:numPr>
        <w:pStyle w:val="Compact"/>
      </w:pPr>
      <w:r>
        <w:rPr>
          <w:bCs/>
          <w:b/>
        </w:rPr>
        <w:t xml:space="preserve">Circular/Take-back Programs:</w:t>
      </w:r>
      <w:r>
        <w:t xml:space="preserve"> </w:t>
      </w:r>
      <w:r>
        <w:t xml:space="preserve">`nmvrkvhmzp` = "Yes, established take-back program for key components."</w:t>
      </w:r>
    </w:p>
    <w:p>
      <w:pPr>
        <w:numPr>
          <w:ilvl w:val="0"/>
          <w:numId w:val="1018"/>
        </w:numPr>
        <w:pStyle w:val="Compact"/>
      </w:pPr>
      <w:r>
        <w:rPr>
          <w:bCs/>
          <w:b/>
        </w:rPr>
        <w:t xml:space="preserve">Recycled Portion:</w:t>
      </w:r>
      <w:r>
        <w:t xml:space="preserve"> </w:t>
      </w:r>
      <w:r>
        <w:t xml:space="preserve">0.95 kg * 0.80 = 0.76 kg</w:t>
      </w:r>
    </w:p>
    <w:p>
      <w:pPr>
        <w:numPr>
          <w:ilvl w:val="0"/>
          <w:numId w:val="1018"/>
        </w:numPr>
        <w:pStyle w:val="Compact"/>
      </w:pPr>
      <w:r>
        <w:rPr>
          <w:bCs/>
          <w:b/>
        </w:rPr>
        <w:t xml:space="preserve">Disposed Portion:</w:t>
      </w:r>
      <w:r>
        <w:t xml:space="preserve"> </w:t>
      </w:r>
      <w:r>
        <w:t xml:space="preserve">0.95 kg * (1 - 0.80) = 0.19 kg</w:t>
      </w:r>
    </w:p>
    <w:p>
      <w:pPr>
        <w:numPr>
          <w:ilvl w:val="0"/>
          <w:numId w:val="1018"/>
        </w:numPr>
        <w:pStyle w:val="Compact"/>
      </w:pPr>
      <w:r>
        <w:rPr>
          <w:bCs/>
          <w:b/>
        </w:rPr>
        <w:t xml:space="preserve">Recycling Credit:</w:t>
      </w:r>
      <w:r>
        <w:t xml:space="preserve"> </w:t>
      </w:r>
      <w:r>
        <w:t xml:space="preserve">0.76 kg * (-0.5 kgCO2e/kg) = -0.38 kgCO2e/unit (Credit for displacing virgin material production).</w:t>
      </w:r>
    </w:p>
    <w:p>
      <w:pPr>
        <w:numPr>
          <w:ilvl w:val="0"/>
          <w:numId w:val="1018"/>
        </w:numPr>
        <w:pStyle w:val="Compact"/>
      </w:pPr>
      <w:r>
        <w:rPr>
          <w:bCs/>
          <w:b/>
        </w:rPr>
        <w:t xml:space="preserve">Landfill Emission:</w:t>
      </w:r>
      <w:r>
        <w:t xml:space="preserve"> </w:t>
      </w:r>
      <w:r>
        <w:t xml:space="preserve">0.19 kg * 0.1 kgCO2e/kg = 0.019 kgCO2e/unit</w:t>
      </w:r>
    </w:p>
    <w:p>
      <w:pPr>
        <w:pStyle w:val="FirstParagraph"/>
      </w:pPr>
      <w:r>
        <w:rPr>
          <w:bCs/>
          <w:b/>
        </w:rPr>
        <w:t xml:space="preserve">Net End-of-Life Emissions: -0.38 + 0.019 = -0.361 kgCO2e/unit</w:t>
      </w:r>
    </w:p>
    <w:bookmarkEnd w:id="41"/>
    <w:bookmarkEnd w:id="42"/>
    <w:bookmarkEnd w:id="43"/>
    <w:bookmarkStart w:id="44" w:name="lsr-update-integration"/>
    <w:p>
      <w:pPr>
        <w:pStyle w:val="Heading3"/>
      </w:pPr>
      <w:r>
        <w:t xml:space="preserve">4.4. 2026 LSR Update Integration</w:t>
      </w:r>
    </w:p>
    <w:p>
      <w:pPr>
        <w:pStyle w:val="FirstParagraph"/>
      </w:pPr>
      <w:r>
        <w:t xml:space="preserve">The Land Sector and Removals (LSR) Standard, effective January 1, 2027, provides requirements and guidance for accounting and reporting GHG emissions and CO2 removals from land use, land-use change, and agricultural activities. For a product like \'oixteojomt\', the LSR Standard primarily influences Scope 3 upstream emissions if raw materials (e.g., bio-based plastics, timber derivatives, or agricultural products) have significant land-use change impacts or if ljsxqoxigs engages in direct land management for sourcing. Given that the primary materials are metals and plastics, the direct impact of LSR on this specific product\'s PCF is expected to be minimal unless specific raw material feedstocks are identified as land-intensive. ljsxqoxigs should assess its raw material supply chain against LSR guidance for any indirect land-use change (iLUC) emissions or land-based removals.</w:t>
      </w:r>
    </w:p>
    <w:bookmarkEnd w:id="44"/>
    <w:bookmarkStart w:id="45" w:name="overall-pcf-calculation-summary"/>
    <w:p>
      <w:pPr>
        <w:pStyle w:val="Heading3"/>
      </w:pPr>
      <w:r>
        <w:t xml:space="preserve">4.5. Overall PCF Calculation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Assumed negligible for product-specific direct processes.</w:t>
            </w:r>
          </w:p>
        </w:tc>
      </w:tr>
      <w:tr>
        <w:tc>
          <w:tcPr/>
          <w:p>
            <w:pPr>
              <w:pStyle w:val="Compact"/>
              <w:jc w:val="left"/>
            </w:pPr>
            <w:r>
              <w:rPr>
                <w:bCs/>
                <w:b/>
              </w:rPr>
              <w:t xml:space="preserve">Scope 2: Purchased Electricity</w:t>
            </w:r>
          </w:p>
        </w:tc>
        <w:tc>
          <w:tcPr/>
          <w:p>
            <w:pPr>
              <w:pStyle w:val="Compact"/>
              <w:jc w:val="left"/>
            </w:pPr>
            <w:r>
              <w:t xml:space="preserve">2.09</w:t>
            </w:r>
          </w:p>
        </w:tc>
        <w:tc>
          <w:tcPr/>
          <w:p>
            <w:pPr>
              <w:pStyle w:val="Compact"/>
              <w:jc w:val="left"/>
            </w:pPr>
            <w:r>
              <w:t xml:space="preserve">Production energy (adjusted for renewable usage).</w:t>
            </w:r>
          </w:p>
        </w:tc>
      </w:tr>
      <w:tr>
        <w:tc>
          <w:tcPr/>
          <w:p>
            <w:pPr>
              <w:pStyle w:val="Compact"/>
              <w:jc w:val="left"/>
            </w:pPr>
            <w:r>
              <w:rPr>
                <w:bCs/>
                <w:b/>
              </w:rPr>
              <w:t xml:space="preserve">Scope 3: Upstream Materials (Category 1)</w:t>
            </w:r>
          </w:p>
        </w:tc>
        <w:tc>
          <w:tcPr/>
          <w:p>
            <w:pPr>
              <w:pStyle w:val="Compact"/>
              <w:jc w:val="left"/>
            </w:pPr>
            <w:r>
              <w:t xml:space="preserve">6.68</w:t>
            </w:r>
          </w:p>
        </w:tc>
        <w:tc>
          <w:tcPr/>
          <w:p>
            <w:pPr>
              <w:pStyle w:val="Compact"/>
              <w:jc w:val="left"/>
            </w:pPr>
            <w:r>
              <w:t xml:space="preserve">Raw material acquisition and processing.</w:t>
            </w:r>
          </w:p>
        </w:tc>
      </w:tr>
      <w:tr>
        <w:tc>
          <w:tcPr/>
          <w:p>
            <w:pPr>
              <w:pStyle w:val="Compact"/>
              <w:jc w:val="left"/>
            </w:pPr>
            <w:r>
              <w:rPr>
                <w:bCs/>
                <w:b/>
              </w:rPr>
              <w:t xml:space="preserve">Scope 3: Upstream Transport (Category 4)</w:t>
            </w:r>
          </w:p>
        </w:tc>
        <w:tc>
          <w:tcPr/>
          <w:p>
            <w:pPr>
              <w:pStyle w:val="Compact"/>
              <w:jc w:val="left"/>
            </w:pPr>
            <w:r>
              <w:t xml:space="preserve">0.095</w:t>
            </w:r>
          </w:p>
        </w:tc>
        <w:tc>
          <w:tcPr/>
          <w:p>
            <w:pPr>
              <w:pStyle w:val="Compact"/>
              <w:jc w:val="left"/>
            </w:pPr>
            <w:r>
              <w:t xml:space="preserve">Inbound logistics.</w:t>
            </w:r>
          </w:p>
        </w:tc>
      </w:tr>
      <w:tr>
        <w:tc>
          <w:tcPr/>
          <w:p>
            <w:pPr>
              <w:pStyle w:val="Compact"/>
              <w:jc w:val="left"/>
            </w:pPr>
            <w:r>
              <w:rPr>
                <w:bCs/>
                <w:b/>
              </w:rPr>
              <w:t xml:space="preserve">Scope 3: Downstream Transport (Category 9)</w:t>
            </w:r>
          </w:p>
        </w:tc>
        <w:tc>
          <w:tcPr/>
          <w:p>
            <w:pPr>
              <w:pStyle w:val="Compact"/>
              <w:jc w:val="left"/>
            </w:pPr>
            <w:r>
              <w:t xml:space="preserve">0.219</w:t>
            </w:r>
          </w:p>
        </w:tc>
        <w:tc>
          <w:tcPr/>
          <w:p>
            <w:pPr>
              <w:pStyle w:val="Compact"/>
              <w:jc w:val="left"/>
            </w:pPr>
            <w:r>
              <w:t xml:space="preserve">Outbound logistics and last-mile delivery.</w:t>
            </w:r>
          </w:p>
        </w:tc>
      </w:tr>
      <w:tr>
        <w:tc>
          <w:tcPr/>
          <w:p>
            <w:pPr>
              <w:pStyle w:val="Compact"/>
              <w:jc w:val="left"/>
            </w:pPr>
            <w:r>
              <w:rPr>
                <w:bCs/>
                <w:b/>
              </w:rPr>
              <w:t xml:space="preserve">Scope 3: Use Phase (Category 11)</w:t>
            </w:r>
          </w:p>
        </w:tc>
        <w:tc>
          <w:tcPr/>
          <w:p>
            <w:pPr>
              <w:pStyle w:val="Compact"/>
              <w:jc w:val="left"/>
            </w:pPr>
            <w:r>
              <w:t xml:space="preserve">55.60</w:t>
            </w:r>
          </w:p>
        </w:tc>
        <w:tc>
          <w:tcPr/>
          <w:p>
            <w:pPr>
              <w:pStyle w:val="Compact"/>
              <w:jc w:val="left"/>
            </w:pPr>
            <w:r>
              <w:t xml:space="preserve">Energy consumption during product use.</w:t>
            </w:r>
          </w:p>
        </w:tc>
      </w:tr>
      <w:tr>
        <w:tc>
          <w:tcPr/>
          <w:p>
            <w:pPr>
              <w:pStyle w:val="Compact"/>
              <w:jc w:val="left"/>
            </w:pPr>
            <w:r>
              <w:rPr>
                <w:bCs/>
                <w:b/>
              </w:rPr>
              <w:t xml:space="preserve">Scope 3: End-of-Life (Category 12)</w:t>
            </w:r>
          </w:p>
        </w:tc>
        <w:tc>
          <w:tcPr/>
          <w:p>
            <w:pPr>
              <w:pStyle w:val="Compact"/>
              <w:jc w:val="left"/>
            </w:pPr>
            <w:r>
              <w:t xml:space="preserve">-0.361</w:t>
            </w:r>
          </w:p>
        </w:tc>
        <w:tc>
          <w:tcPr/>
          <w:p>
            <w:pPr>
              <w:pStyle w:val="Compact"/>
              <w:jc w:val="left"/>
            </w:pPr>
            <w:r>
              <w:t xml:space="preserve">Recycling credits and disposal emissions.</w:t>
            </w:r>
          </w:p>
        </w:tc>
      </w:tr>
      <w:tr>
        <w:tc>
          <w:tcPr/>
          <w:p>
            <w:pPr>
              <w:pStyle w:val="Compact"/>
              <w:jc w:val="left"/>
            </w:pPr>
            <w:r>
              <w:rPr>
                <w:bCs/>
                <w:b/>
              </w:rPr>
              <w:t xml:space="preserve">Total Product Carbon Footprint (PCF)</w:t>
            </w:r>
          </w:p>
        </w:tc>
        <w:tc>
          <w:tcPr/>
          <w:p>
            <w:pPr>
              <w:pStyle w:val="Compact"/>
              <w:jc w:val="left"/>
            </w:pPr>
            <w:r>
              <w:rPr>
                <w:bCs/>
                <w:b/>
              </w:rPr>
              <w:t xml:space="preserve">64.32</w:t>
            </w:r>
          </w:p>
        </w:tc>
        <w:tc>
          <w:tcPr/>
          <w:p>
            <w:pPr>
              <w:pStyle w:val="Compact"/>
              <w:jc w:val="left"/>
            </w:pPr>
            <w:r>
              <w:t xml:space="preserve">(Sum of all categories)</w:t>
            </w:r>
          </w:p>
        </w:tc>
      </w:tr>
    </w:tbl>
    <w:p>
      <w:pPr>
        <w:pStyle w:val="BodyText"/>
      </w:pPr>
      <w:r>
        <w:rPr>
          <w:bCs/>
          <w:b/>
        </w:rPr>
        <w:t xml:space="preserve">Total PCF for oixteojomt: 64.32 kgCO2e per unit.</w:t>
      </w:r>
    </w:p>
    <w:p>
      <w:r>
        <w:pict>
          <v:rect style="width:0;height:1.5pt" o:hralign="center" o:hrstd="t" o:hr="t"/>
        </w:pict>
      </w:r>
    </w:p>
    <w:bookmarkEnd w:id="45"/>
    <w:bookmarkEnd w:id="46"/>
    <w:bookmarkStart w:id="52" w:name="review-report"/>
    <w:p>
      <w:pPr>
        <w:pStyle w:val="Heading1"/>
      </w:pPr>
      <w:r>
        <w:t xml:space="preserve">5. Review &amp; Report</w:t>
      </w:r>
    </w:p>
    <w:p>
      <w:pPr>
        <w:pStyle w:val="FirstParagraph"/>
      </w:pPr>
      <w:r>
        <w:t xml:space="preserve">This final section summarizes the findings, identifies key emission hotspots, and provides recommendations for improving the product\'s sustainability profile.</w:t>
      </w:r>
    </w:p>
    <w:bookmarkStart w:id="47" w:name="emission-hotspots"/>
    <w:p>
      <w:pPr>
        <w:pStyle w:val="Heading3"/>
      </w:pPr>
      <w:r>
        <w:t xml:space="preserve">5.1. Emission Hotspots</w:t>
      </w:r>
    </w:p>
    <w:p>
      <w:pPr>
        <w:pStyle w:val="FirstParagraph"/>
      </w:pPr>
      <w:r>
        <w:t xml:space="preserve">The PCF analysis reveals the following key emission hotspots for oixteojomt:</w:t>
      </w:r>
    </w:p>
    <w:p>
      <w:pPr>
        <w:numPr>
          <w:ilvl w:val="0"/>
          <w:numId w:val="1019"/>
        </w:numPr>
        <w:pStyle w:val="Compact"/>
      </w:pPr>
      <w:r>
        <w:rPr>
          <w:bCs/>
          <w:b/>
        </w:rPr>
        <w:t xml:space="preserve">Use Phase (55.60 kgCO2e/unit):</w:t>
      </w:r>
      <w:r>
        <w:t xml:space="preserve"> </w:t>
      </w:r>
      <w:r>
        <w:t xml:space="preserve">The most significant contributor to the total PCF is the energy consumed during the product\'s 5-year lifespan. This is primarily due to the ongoing electricity consumption by the end-user, highlighting the importance of product energy efficiency.</w:t>
      </w:r>
    </w:p>
    <w:p>
      <w:pPr>
        <w:numPr>
          <w:ilvl w:val="0"/>
          <w:numId w:val="1019"/>
        </w:numPr>
        <w:pStyle w:val="Compact"/>
      </w:pPr>
      <w:r>
        <w:rPr>
          <w:bCs/>
          <w:b/>
        </w:rPr>
        <w:t xml:space="preserve">Materials Acquisition &amp; Processing (6.68 kgCO2e/unit):</w:t>
      </w:r>
      <w:r>
        <w:t xml:space="preserve"> </w:t>
      </w:r>
      <w:r>
        <w:t xml:space="preserve">The production of raw materials, particularly the aluminum casing and the printed circuit board, contributes substantially to upstream emissions.</w:t>
      </w:r>
    </w:p>
    <w:p>
      <w:pPr>
        <w:numPr>
          <w:ilvl w:val="0"/>
          <w:numId w:val="1019"/>
        </w:numPr>
        <w:pStyle w:val="Compact"/>
      </w:pPr>
      <w:r>
        <w:rPr>
          <w:bCs/>
          <w:b/>
        </w:rPr>
        <w:t xml:space="preserve">Purchased Electricity (2.09 kgCO2e/unit):</w:t>
      </w:r>
      <w:r>
        <w:t xml:space="preserve"> </w:t>
      </w:r>
      <w:r>
        <w:t xml:space="preserve">Even with 75% renewable energy usage, the remaining grid electricity for manufacturing still accounts for a notable portion of emissions.</w:t>
      </w:r>
    </w:p>
    <w:bookmarkEnd w:id="47"/>
    <w:bookmarkStart w:id="48" w:name="data-reliability-and-limitations"/>
    <w:p>
      <w:pPr>
        <w:pStyle w:val="Heading3"/>
      </w:pPr>
      <w:r>
        <w:t xml:space="preserve">5.2. Data Reliability and Limitations</w:t>
      </w:r>
    </w:p>
    <w:p>
      <w:pPr>
        <w:pStyle w:val="FirstParagraph"/>
      </w:pPr>
      <w:r>
        <w:t xml:space="preserve">This report relies on a combination of specific company data (e.g., renewable energy usage, energy intensity) and illustrative, industry-average emission factors for materials, transport, and energy from sources such as Climatiq, DEFRA, and general literature. While efforts were made to use relevant and recent data, the precision of the PCF is directly tied to the granularity and specificity of the underlying emission factors. The actual `nvgrhmvp` data provided the structure but illustrative values were used in this demonstration. For a more precise PCF, primary data from all suppliers (Scope 3) would be required.</w:t>
      </w:r>
    </w:p>
    <w:bookmarkEnd w:id="48"/>
    <w:bookmarkStart w:id="51" w:name="recommendations-for-reduction"/>
    <w:p>
      <w:pPr>
        <w:pStyle w:val="Heading3"/>
      </w:pPr>
      <w:r>
        <w:t xml:space="preserve">5.3. Recommendations for Reduction</w:t>
      </w:r>
    </w:p>
    <w:p>
      <w:pPr>
        <w:pStyle w:val="FirstParagraph"/>
      </w:pPr>
      <w:r>
        <w:t xml:space="preserve">Based on the identified hotspots, the following recommendations are provided to ljsxqoxigs to reduce the PCF of oixteojomt:</w:t>
      </w:r>
    </w:p>
    <w:p>
      <w:pPr>
        <w:numPr>
          <w:ilvl w:val="0"/>
          <w:numId w:val="1020"/>
        </w:numPr>
        <w:pStyle w:val="Compact"/>
      </w:pPr>
      <w:r>
        <w:rPr>
          <w:bCs/>
          <w:b/>
        </w:rPr>
        <w:t xml:space="preserve">Enhance Product Energy Efficiency:</w:t>
      </w:r>
      <w:r>
        <w:t xml:space="preserve"> </w:t>
      </w:r>
      <w:r>
        <w:t xml:space="preserve">Focus on reducing the energy consumption of oixteojomt during its use phase. This could involve design improvements, more efficient components, or features that minimize standby power.</w:t>
      </w:r>
    </w:p>
    <w:p>
      <w:pPr>
        <w:numPr>
          <w:ilvl w:val="0"/>
          <w:numId w:val="1020"/>
        </w:numPr>
        <w:pStyle w:val="Compact"/>
      </w:pPr>
      <w:r>
        <w:rPr>
          <w:bCs/>
          <w:b/>
        </w:rPr>
        <w:t xml:space="preserve">Increase Renewable Energy Sourcing:</w:t>
      </w:r>
      <w:r>
        <w:t xml:space="preserve"> </w:t>
      </w:r>
      <w:r>
        <w:t xml:space="preserve">While 75% renewable energy is commendable, exploring options to achieve 100% renewable energy for production would further reduce Scope 2 emissions. This could involve direct renewable energy procurement or investments in off-site renewable projects.</w:t>
      </w:r>
    </w:p>
    <w:p>
      <w:pPr>
        <w:numPr>
          <w:ilvl w:val="0"/>
          <w:numId w:val="1020"/>
        </w:numPr>
        <w:pStyle w:val="Compact"/>
      </w:pPr>
      <w:r>
        <w:rPr>
          <w:bCs/>
          <w:b/>
        </w:rPr>
        <w:t xml:space="preserve">Optimize Material Selection:</w:t>
      </w:r>
      <w:r>
        <w:t xml:space="preserve"> </w:t>
      </w:r>
      <w:r>
        <w:t xml:space="preserve">Investigate alternative materials for the aluminum casing, plastic enclosure, and PCB with lower embodied carbon, potentially by sourcing recycled content (where quality allows) or exploring bio-based alternatives with verified low impacts under the LSR Standard.</w:t>
      </w:r>
    </w:p>
    <w:p>
      <w:pPr>
        <w:numPr>
          <w:ilvl w:val="0"/>
          <w:numId w:val="1020"/>
        </w:numPr>
        <w:pStyle w:val="Compact"/>
      </w:pPr>
      <w:r>
        <w:rPr>
          <w:bCs/>
          <w:b/>
        </w:rPr>
        <w:t xml:space="preserve">Strengthen Circular Economy Initiatives:</w:t>
      </w:r>
      <w:r>
        <w:t xml:space="preserve"> </w:t>
      </w:r>
      <w:r>
        <w:t xml:space="preserve">Leverage the existing take-back programs (`nmvrkvhmzp`) to maximize material recovery and reuse. Explore design for disassembly and modularity to facilitate repair, refurbishment, and high-quality recycling. Increase the actual recyclability percentage (`uxpspvsxsj`) and ensure efficient processing of collected materials to generate higher recycling credits.</w:t>
      </w:r>
    </w:p>
    <w:p>
      <w:pPr>
        <w:numPr>
          <w:ilvl w:val="0"/>
          <w:numId w:val="1020"/>
        </w:numPr>
        <w:pStyle w:val="Compact"/>
      </w:pPr>
      <w:r>
        <w:rPr>
          <w:bCs/>
          <w:b/>
        </w:rPr>
        <w:t xml:space="preserve">Supplier Engagement:</w:t>
      </w:r>
      <w:r>
        <w:t xml:space="preserve"> </w:t>
      </w:r>
      <w:r>
        <w:t xml:space="preserve">Collaborate with upstream suppliers to identify and implement emission reduction strategies within their operations, particularly for high-impact materials and processes.</w:t>
      </w:r>
    </w:p>
    <w:p>
      <w:pPr>
        <w:numPr>
          <w:ilvl w:val="0"/>
          <w:numId w:val="1020"/>
        </w:numPr>
        <w:pStyle w:val="Compact"/>
      </w:pPr>
      <w:r>
        <w:rPr>
          <w:bCs/>
          <w:b/>
        </w:rPr>
        <w:t xml:space="preserve">Logistics Optimization:</w:t>
      </w:r>
      <w:r>
        <w:t xml:space="preserve"> </w:t>
      </w:r>
      <w:r>
        <w:t xml:space="preserve">Continuously optimize transport routes, modes, and load factors to minimize emissions from both inbound and outbound logistics.</w:t>
      </w:r>
    </w:p>
    <w:p>
      <w:pPr>
        <w:pStyle w:val="FirstParagraph"/>
      </w:pPr>
      <w:r>
        <w:t xml:space="preserve">By focusing on these areas, ljsxqoxigs can strategically reduce the environmental impact of oixteojomt and align with global sustainability goals.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9" w:name="pageNumber"/>
      <w:bookmarkEnd w:id="49"/>
      <w:r>
        <w:t xml:space="preserve"> </w:t>
      </w:r>
      <w:r>
        <w:t xml:space="preserve">of</w:t>
      </w:r>
      <w:r>
        <w:t xml:space="preserve"> </w:t>
      </w:r>
      <w:bookmarkStart w:id="50" w:name="totalPages"/>
      <w:bookmarkEnd w:id="50"/>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oixteojomt - ljsxqoxigs</dc:title>
  <dc:creator/>
  <dc:description>High-detail Product Carbon Footprint (PCF) analysis report for oixteojomt, performed by Senior Sustainability Consultant tdgeuzyuvo for ljsxqoxigs, adhering to GHG Protocol and 2026 updates.</dc:description>
  <dc:language>en</dc:language>
  <cp:keywords/>
  <dcterms:created xsi:type="dcterms:W3CDTF">2026-07-15T01:05:39Z</dcterms:created>
  <dcterms:modified xsi:type="dcterms:W3CDTF">2026-07-15T01:05:39Z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