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oipslmtdgn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oipslmtdgn</w:t>
      </w:r>
    </w:p>
    <w:p>
      <w:pPr>
        <w:pStyle w:val="BodyText"/>
      </w:pPr>
      <w:r>
        <w:rPr>
          <w:bCs/>
          <w:b/>
        </w:rPr>
        <w:t xml:space="preserve">Company Name:</w:t>
      </w:r>
      <w:r>
        <w:t xml:space="preserve"> </w:t>
      </w:r>
      <w:r>
        <w:t xml:space="preserve">kfxgurtzye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qewovfztyw</w:t>
      </w:r>
    </w:p>
    <w:p>
      <w:pPr>
        <w:pStyle w:val="BodyText"/>
      </w:pPr>
      <w:r>
        <w:t xml:space="preserve">Disclaimer: This report is generated based on available data and industry standards.</w:t>
      </w:r>
      <w:r>
        <w:t xml:space="preserve"> </w:t>
      </w:r>
      <w:r>
        <w:t xml:space="preserve">The emission factors used are illustrative and representative of industry averages,</w:t>
      </w:r>
      <w:r>
        <w:t xml:space="preserve"> </w:t>
      </w:r>
      <w:r>
        <w:t xml:space="preserve">and may vary with specific supplier data and regional grid mixes.</w:t>
      </w:r>
    </w:p>
    <w:bookmarkEnd w:id="20"/>
    <w:bookmarkStart w:id="21" w:name="X2a04d56c423171b9e9c5bb551ec3abb19d5db9b"/>
    <w:p>
      <w:pPr>
        <w:pStyle w:val="Heading1"/>
      </w:pPr>
      <w:r>
        <w:t xml:space="preserve">Product Carbon Footprint Analysis Report: oipslmtdgn</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oipslmtdgn, manufactured by kfxgurtzye.</w:t>
      </w:r>
      <w:r>
        <w:t xml:space="preserve"> </w:t>
      </w:r>
      <w:r>
        <w:t xml:space="preserve">As Senior Sustainability Consultant qewovfztyw, this analysis adheres strictly to the GHG Protocol,</w:t>
      </w:r>
      <w:r>
        <w:t xml:space="preserve"> </w:t>
      </w:r>
      <w:r>
        <w:t xml:space="preserve">incorporating the latest 2026 Land Sector and Removals (LSR) Standard updates and ensuring at least 95% Scope 3 coverage.</w:t>
      </w:r>
      <w:r>
        <w:t xml:space="preserve"> </w:t>
      </w:r>
      <w:r>
        <w:t xml:space="preserve">The PCF calculation employs a cradle-to-gate system boundary for the primary declared footprint, while also</w:t>
      </w:r>
      <w:r>
        <w:t xml:space="preserve"> </w:t>
      </w:r>
      <w:r>
        <w:t xml:space="preserve">providing a holistic lifecycle assessment including use phase and end-of-life scenarios to fulfill the detailed analysis requirements.</w:t>
      </w:r>
      <w:r>
        <w:t xml:space="preserve"> </w:t>
      </w:r>
      <w:r>
        <w:t xml:space="preserve">The assessment identifies key emission hotspots across material acquisition, manufacturing, transport, use, and end-of-life stages,</w:t>
      </w:r>
      <w:r>
        <w:t xml:space="preserve"> </w:t>
      </w:r>
      <w:r>
        <w:t xml:space="preserve">providing kfxgurtzye with actionable insights for decarbonization strategies.</w:t>
      </w:r>
    </w:p>
    <w:p>
      <w:r>
        <w:pict>
          <v:rect style="width:0;height:1.5pt" o:hralign="center" o:hrstd="t" o:hr="t"/>
        </w:pict>
      </w:r>
    </w:p>
    <w:bookmarkEnd w:id="22"/>
    <w:bookmarkStart w:id="23" w:name="defining-the-scope-of-the-analysis"/>
    <w:p>
      <w:pPr>
        <w:pStyle w:val="Heading2"/>
      </w:pPr>
      <w:r>
        <w:t xml:space="preserve">1. Defining the Scope of the Analysis</w:t>
      </w:r>
    </w:p>
    <w:p>
      <w:pPr>
        <w:numPr>
          <w:ilvl w:val="0"/>
          <w:numId w:val="1001"/>
        </w:numPr>
        <w:pStyle w:val="Compact"/>
      </w:pPr>
      <w:r>
        <w:rPr>
          <w:bCs/>
          <w:b/>
        </w:rPr>
        <w:t xml:space="preserve">Functional Unit:</w:t>
      </w:r>
      <w:r>
        <w:t xml:space="preserve"> </w:t>
      </w:r>
      <w:r>
        <w:t xml:space="preserve">1.0 unit of oipslmtdgn.</w:t>
      </w:r>
    </w:p>
    <w:p>
      <w:pPr>
        <w:numPr>
          <w:ilvl w:val="0"/>
          <w:numId w:val="1001"/>
        </w:numPr>
        <w:pStyle w:val="Compact"/>
      </w:pPr>
      <w:r>
        <w:rPr>
          <w:bCs/>
          <w:b/>
        </w:rPr>
        <w:t xml:space="preserve">System Boundary:</w:t>
      </w:r>
      <w:r>
        <w:t xml:space="preserve"> </w:t>
      </w:r>
      <w:r>
        <w:t xml:space="preserve">Factory-gate (cradle-to-gate) for the declared Product Carbon Footprint. However, a full lifecycle assessment (cradle-to-grave) is performed to provide comprehensive insights, covering material acquisition, manufacturing, transport, use, and end-of-life stages, as required by the detailed analysis parameters.</w:t>
      </w:r>
    </w:p>
    <w:p>
      <w:pPr>
        <w:numPr>
          <w:ilvl w:val="0"/>
          <w:numId w:val="1001"/>
        </w:numPr>
        <w:pStyle w:val="Compact"/>
      </w:pPr>
      <w:r>
        <w:rPr>
          <w:bCs/>
          <w:b/>
        </w:rPr>
        <w:t xml:space="preserve">Geographic Scope:</w:t>
      </w:r>
      <w:r>
        <w:t xml:space="preserve"> </w:t>
      </w:r>
      <w:r>
        <w:t xml:space="preserve">Final production country is China, with a supply chain focus primarily on Europe for upstream materials and global for general electronic components. The use phase is assumed to occur in Europe.</w:t>
      </w:r>
    </w:p>
    <w:p>
      <w:pPr>
        <w:numPr>
          <w:ilvl w:val="0"/>
          <w:numId w:val="1001"/>
        </w:numPr>
        <w:pStyle w:val="Compact"/>
      </w:pPr>
      <w:r>
        <w:rPr>
          <w:bCs/>
          <w:b/>
        </w:rPr>
        <w:t xml:space="preserve">Accounting Standard:</w:t>
      </w:r>
      <w:r>
        <w:t xml:space="preserve"> </w:t>
      </w:r>
      <w:r>
        <w:t xml:space="preserve">GHG Protocol. This includes categorization into Scope 1 (direct emissions), Scope 2 (indirect emissions from purchased electricity), and Scope 3 (all other indirect emissions across the value chain).</w:t>
      </w:r>
    </w:p>
    <w:p>
      <w:pPr>
        <w:numPr>
          <w:ilvl w:val="0"/>
          <w:numId w:val="1001"/>
        </w:numPr>
        <w:pStyle w:val="Compact"/>
      </w:pPr>
      <w:r>
        <w:rPr>
          <w:bCs/>
          <w:b/>
        </w:rPr>
        <w:t xml:space="preserve">Allocation:</w:t>
      </w:r>
      <w:r>
        <w:t xml:space="preserve"> </w:t>
      </w:r>
      <w:r>
        <w:t xml:space="preserve">Mass allocation is used where appropriate for co-products. For end-of-life, the avoided burden approach is utilized to credit recycling activities.</w:t>
      </w:r>
    </w:p>
    <w:p>
      <w:r>
        <w:pict>
          <v:rect style="width:0;height:1.5pt" o:hralign="center" o:hrstd="t" o:hr="t"/>
        </w:pict>
      </w:r>
    </w:p>
    <w:bookmarkEnd w:id="23"/>
    <w:bookmarkStart w:id="24" w:name="Xeceb5f3c4cb430539f02d69dd8b49b0c98a11ff"/>
    <w:p>
      <w:pPr>
        <w:pStyle w:val="Heading2"/>
      </w:pPr>
      <w:r>
        <w:t xml:space="preserve">2. Mapping the Lifecycle (LCI Inventory Stages)</w:t>
      </w:r>
    </w:p>
    <w:p>
      <w:pPr>
        <w:pStyle w:val="FirstParagraph"/>
      </w:pPr>
      <w:r>
        <w:t xml:space="preserve">The lifecycle of oipslmtdgn is mapped across five key stages:</w:t>
      </w:r>
    </w:p>
    <w:p>
      <w:pPr>
        <w:numPr>
          <w:ilvl w:val="0"/>
          <w:numId w:val="1002"/>
        </w:numPr>
        <w:pStyle w:val="Compact"/>
      </w:pPr>
      <w:r>
        <w:rPr>
          <w:bCs/>
          <w:b/>
        </w:rPr>
        <w:t xml:space="preserve">Raw Material Acquisition &amp; Processing:</w:t>
      </w:r>
      <w:r>
        <w:t xml:space="preserve"> </w:t>
      </w:r>
      <w:r>
        <w:t xml:space="preserve">This upstream stage includes the extraction, processing, and primary manufacturing of all components and materials listed in the Bill of Materials (BOM). These emissions fall under Scope 3, Category 1 (Purchased goods and services).</w:t>
      </w:r>
    </w:p>
    <w:p>
      <w:pPr>
        <w:numPr>
          <w:ilvl w:val="0"/>
          <w:numId w:val="1002"/>
        </w:numPr>
        <w:pStyle w:val="Compact"/>
      </w:pPr>
      <w:r>
        <w:rPr>
          <w:bCs/>
          <w:b/>
        </w:rPr>
        <w:t xml:space="preserve">Manufacturing (at kfxgurtzye\'s facility in China):</w:t>
      </w:r>
      <w:r>
        <w:t xml:space="preserve"> </w:t>
      </w:r>
      <w:r>
        <w:t xml:space="preserve">This stage covers the energy consumption during assembly and processing, as well as any direct emissions from the factory.</w:t>
      </w:r>
    </w:p>
    <w:p>
      <w:pPr>
        <w:numPr>
          <w:ilvl w:val="1"/>
          <w:numId w:val="1003"/>
        </w:numPr>
        <w:pStyle w:val="Compact"/>
      </w:pPr>
      <w:r>
        <w:t xml:space="preserve">Scope 1: Direct emissions from owned or controlled sources (e.g., on-site fuel combustion).</w:t>
      </w:r>
    </w:p>
    <w:p>
      <w:pPr>
        <w:numPr>
          <w:ilvl w:val="1"/>
          <w:numId w:val="1003"/>
        </w:numPr>
        <w:pStyle w:val="Compact"/>
      </w:pPr>
      <w:r>
        <w:t xml:space="preserve">Scope 2: Indirect emissions from purchased electricity for manufacturing processes.</w:t>
      </w:r>
    </w:p>
    <w:p>
      <w:pPr>
        <w:numPr>
          <w:ilvl w:val="1"/>
          <w:numId w:val="1003"/>
        </w:numPr>
        <w:pStyle w:val="Compact"/>
      </w:pPr>
      <w:r>
        <w:t xml:space="preserve">Scope 3: Waste generated from operations (Category 5).</w:t>
      </w:r>
    </w:p>
    <w:p>
      <w:pPr>
        <w:numPr>
          <w:ilvl w:val="0"/>
          <w:numId w:val="1002"/>
        </w:numPr>
        <w:pStyle w:val="Compact"/>
      </w:pPr>
      <w:r>
        <w:rPr>
          <w:bCs/>
          <w:b/>
        </w:rPr>
        <w:t xml:space="preserve">Transport:</w:t>
      </w:r>
      <w:r>
        <w:t xml:space="preserve"> </w:t>
      </w:r>
      <w:r>
        <w:t xml:space="preserve">This stage encompasses both inbound logistics (transport of raw materials and components to the manufacturing facility in China) and outbound/last-mile delivery (transport of the finished product to the customer). These are Scope 3 emissions (Category 4 for upstream, Category 9 for downstream transportation).</w:t>
      </w:r>
    </w:p>
    <w:p>
      <w:pPr>
        <w:numPr>
          <w:ilvl w:val="0"/>
          <w:numId w:val="1002"/>
        </w:numPr>
        <w:pStyle w:val="Compact"/>
      </w:pPr>
      <w:r>
        <w:rPr>
          <w:bCs/>
          <w:b/>
        </w:rPr>
        <w:t xml:space="preserve">Use Phase:</w:t>
      </w:r>
      <w:r>
        <w:t xml:space="preserve"> </w:t>
      </w:r>
      <w:r>
        <w:t xml:space="preserve">This stage accounts for the energy consumed by the product during its lifespan by the end-user. These are Scope 3, Category 11 (Use of sold products).</w:t>
      </w:r>
    </w:p>
    <w:p>
      <w:pPr>
        <w:numPr>
          <w:ilvl w:val="0"/>
          <w:numId w:val="1002"/>
        </w:numPr>
        <w:pStyle w:val="Compact"/>
      </w:pPr>
      <w:r>
        <w:rPr>
          <w:bCs/>
          <w:b/>
        </w:rPr>
        <w:t xml:space="preserve">End-of-Life (EoL):</w:t>
      </w:r>
      <w:r>
        <w:t xml:space="preserve"> </w:t>
      </w:r>
      <w:r>
        <w:t xml:space="preserve">This stage covers the impacts associated with the disposal or recycling of the product at the end of its useful life, reflecting circular economy aspects. These are Scope 3, Category 12 (End-of-life treatment of sold products).</w:t>
      </w:r>
    </w:p>
    <w:p>
      <w:r>
        <w:pict>
          <v:rect style="width:0;height:1.5pt" o:hralign="center" o:hrstd="t" o:hr="t"/>
        </w:pict>
      </w:r>
    </w:p>
    <w:bookmarkEnd w:id="24"/>
    <w:bookmarkStart w:id="30" w:name="data-collection-and-detailed-breakdown"/>
    <w:p>
      <w:pPr>
        <w:pStyle w:val="Heading2"/>
      </w:pPr>
      <w:r>
        <w:t xml:space="preserve">3. Data Collection and Detailed Breakdown</w:t>
      </w:r>
    </w:p>
    <w:p>
      <w:pPr>
        <w:pStyle w:val="FirstParagraph"/>
      </w:pPr>
      <w:r>
        <w:t xml:space="preserve">Primary and secondary data points were collected based on the provided parameters. Illustrative emission factors, consistent with industry standards (e.g., DEFRA, Ecoinvent), are used where specific supplier data is not available, with explicit assumptions noted.</w:t>
      </w:r>
    </w:p>
    <w:bookmarkStart w:id="25" w:name="Xecd066f79c21edc4f69ff3df2a1bdda58836a50"/>
    <w:p>
      <w:pPr>
        <w:pStyle w:val="Heading3"/>
      </w:pPr>
      <w:r>
        <w:t xml:space="preserve">3.1. Detailed Bill of Materials (BOM) for oipslmtdgn</w:t>
      </w:r>
    </w:p>
    <w:p>
      <w:pPr>
        <w:pStyle w:val="FirstParagraph"/>
      </w:pPr>
      <w:r>
        <w:t xml:space="preserve">The following detailed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0.700</w:t>
            </w:r>
          </w:p>
        </w:tc>
      </w:tr>
      <w:tr>
        <w:tc>
          <w:tcPr/>
          <w:p>
            <w:pPr>
              <w:pStyle w:val="Compact"/>
              <w:jc w:val="left"/>
            </w:pPr>
            <w:r>
              <w:t xml:space="preserve">002</w:t>
            </w:r>
          </w:p>
        </w:tc>
        <w:tc>
          <w:tcPr/>
          <w:p>
            <w:pPr>
              <w:pStyle w:val="Compact"/>
              <w:jc w:val="left"/>
            </w:pPr>
            <w:r>
              <w:t xml:space="preserve">PCB (Printed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003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3.0</w:t>
            </w:r>
          </w:p>
        </w:tc>
        <w:tc>
          <w:tcPr/>
          <w:p>
            <w:pPr>
              <w:pStyle w:val="Compact"/>
              <w:jc w:val="left"/>
            </w:pPr>
            <w:r>
              <w:t xml:space="preserve">0.240</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0.064</w:t>
            </w:r>
          </w:p>
        </w:tc>
      </w:tr>
      <w:tr>
        <w:tc>
          <w:tcPr/>
          <w:p>
            <w:pPr>
              <w:pStyle w:val="Compact"/>
              <w:jc w:val="left"/>
            </w:pPr>
            <w:r>
              <w:t xml:space="preserve">005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1.500</w:t>
            </w:r>
          </w:p>
        </w:tc>
      </w:tr>
      <w:tr>
        <w:tc>
          <w:tcPr>
            <w:gridSpan w:val="7"/>
          </w:tcPr>
          <w:p>
            <w:pPr>
              <w:pStyle w:val="Compact"/>
              <w:jc w:val="right"/>
            </w:pPr>
            <w:r>
              <w:rPr>
                <w:bCs/>
                <w:b/>
              </w:rPr>
              <w:t xml:space="preserve">Total Material Carbon Impact:</w:t>
            </w:r>
          </w:p>
        </w:tc>
        <w:tc>
          <w:tcPr/>
          <w:p>
            <w:pPr>
              <w:pStyle w:val="Compact"/>
              <w:jc w:val="left"/>
            </w:pPr>
            <w:r>
              <w:rPr>
                <w:bCs/>
                <w:b/>
              </w:rPr>
              <w:t xml:space="preserve">2.579</w:t>
            </w:r>
          </w:p>
        </w:tc>
      </w:tr>
    </w:tbl>
    <w:bookmarkEnd w:id="25"/>
    <w:bookmarkStart w:id="26" w:name="X5491f0ec7c5555315a899504130dee3720a958c"/>
    <w:p>
      <w:pPr>
        <w:pStyle w:val="Heading3"/>
      </w:pPr>
      <w:r>
        <w:t xml:space="preserve">3.2. Production Energy Inputs (Manufacturing Phase)</w:t>
      </w:r>
    </w:p>
    <w:p>
      <w:pPr>
        <w:numPr>
          <w:ilvl w:val="0"/>
          <w:numId w:val="1004"/>
        </w:numPr>
        <w:pStyle w:val="Compact"/>
      </w:pPr>
      <w:r>
        <w:rPr>
          <w:bCs/>
          <w:b/>
        </w:rPr>
        <w:t xml:space="preserve">Renewable Energy Usage (prtyrinkun):</w:t>
      </w:r>
      <w:r>
        <w:t xml:space="preserve"> </w:t>
      </w:r>
      <w:r>
        <w:t xml:space="preserve">60% of purchased electricity is from renewable sources.</w:t>
      </w:r>
    </w:p>
    <w:p>
      <w:pPr>
        <w:numPr>
          <w:ilvl w:val="0"/>
          <w:numId w:val="1004"/>
        </w:numPr>
        <w:pStyle w:val="Compact"/>
      </w:pPr>
      <w:r>
        <w:rPr>
          <w:bCs/>
          <w:b/>
        </w:rPr>
        <w:t xml:space="preserve">Energy Intensity (qvxgdvmwvs):</w:t>
      </w:r>
      <w:r>
        <w:t xml:space="preserve"> </w:t>
      </w:r>
      <w:r>
        <w:t xml:space="preserve">12 kWh/unit.</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China Grid Emission Factor:</w:t>
      </w:r>
      <w:r>
        <w:t xml:space="preserve"> </w:t>
      </w:r>
      <w:r>
        <w:t xml:space="preserve">0.58 kgCO₂e/kWh (average, adjusted for 2026; ranges from 0.5568 to 0.6205 kgCO2/kWh).</w:t>
      </w:r>
    </w:p>
    <w:bookmarkEnd w:id="26"/>
    <w:bookmarkStart w:id="27" w:name="logistics-data"/>
    <w:p>
      <w:pPr>
        <w:pStyle w:val="Heading3"/>
      </w:pPr>
      <w:r>
        <w:t xml:space="preserve">3.3. Logistics Data</w:t>
      </w:r>
    </w:p>
    <w:p>
      <w:pPr>
        <w:numPr>
          <w:ilvl w:val="0"/>
          <w:numId w:val="1005"/>
        </w:numPr>
        <w:pStyle w:val="Compact"/>
      </w:pPr>
      <w:r>
        <w:rPr>
          <w:bCs/>
          <w:b/>
        </w:rPr>
        <w:t xml:space="preserve">Transport Mode (Inbound):</w:t>
      </w:r>
      <w:r>
        <w:t xml:space="preserve"> </w:t>
      </w:r>
      <w:r>
        <w:t xml:space="preserve">Road freight (heavy-duty truck, assumed average).</w:t>
      </w:r>
    </w:p>
    <w:p>
      <w:pPr>
        <w:numPr>
          <w:ilvl w:val="0"/>
          <w:numId w:val="1005"/>
        </w:numPr>
        <w:pStyle w:val="Compact"/>
      </w:pPr>
      <w:r>
        <w:rPr>
          <w:bCs/>
          <w:b/>
        </w:rPr>
        <w:t xml:space="preserve">Transport Distance (pdhodfnjis):</w:t>
      </w:r>
      <w:r>
        <w:t xml:space="preserve"> </w:t>
      </w:r>
      <w:r>
        <w:t xml:space="preserve">1500 km (average for supply chain within Europe to factory in China).</w:t>
      </w:r>
    </w:p>
    <w:p>
      <w:pPr>
        <w:numPr>
          <w:ilvl w:val="0"/>
          <w:numId w:val="1005"/>
        </w:numPr>
        <w:pStyle w:val="Compact"/>
      </w:pPr>
      <w:r>
        <w:rPr>
          <w:bCs/>
          <w:b/>
        </w:rPr>
        <w:t xml:space="preserve">Last-Mile Delivery Channel (Delivery Type):</w:t>
      </w:r>
      <w:r>
        <w:t xml:space="preserve"> </w:t>
      </w:r>
      <w:r>
        <w:t xml:space="preserve">Van delivery (small parcel, assumed 50 km local delivery).</w:t>
      </w:r>
    </w:p>
    <w:p>
      <w:pPr>
        <w:numPr>
          <w:ilvl w:val="0"/>
          <w:numId w:val="1005"/>
        </w:numPr>
        <w:pStyle w:val="Compact"/>
      </w:pPr>
      <w:r>
        <w:rPr>
          <w:bCs/>
          <w:b/>
        </w:rPr>
        <w:t xml:space="preserve">Road Freight Emission Factor:</w:t>
      </w:r>
      <w:r>
        <w:t xml:space="preserve"> </w:t>
      </w:r>
      <w:r>
        <w:t xml:space="preserve">0.09 kgCO₂e/tkm (illustrative, DEFRA-like factor).</w:t>
      </w:r>
    </w:p>
    <w:p>
      <w:pPr>
        <w:numPr>
          <w:ilvl w:val="0"/>
          <w:numId w:val="1005"/>
        </w:numPr>
        <w:pStyle w:val="Compact"/>
      </w:pPr>
      <w:r>
        <w:rPr>
          <w:bCs/>
          <w:b/>
        </w:rPr>
        <w:t xml:space="preserve">Van Delivery Emission Factor:</w:t>
      </w:r>
      <w:r>
        <w:t xml:space="preserve"> </w:t>
      </w:r>
      <w:r>
        <w:t xml:space="preserve">0.2 kgCO₂e/unit (illustrative for short-distance parcel delivery).</w:t>
      </w:r>
    </w:p>
    <w:bookmarkEnd w:id="27"/>
    <w:bookmarkStart w:id="28" w:name="use-phase-data"/>
    <w:p>
      <w:pPr>
        <w:pStyle w:val="Heading3"/>
      </w:pPr>
      <w:r>
        <w:t xml:space="preserve">3.4. Use Phase Data</w:t>
      </w:r>
    </w:p>
    <w:p>
      <w:pPr>
        <w:numPr>
          <w:ilvl w:val="0"/>
          <w:numId w:val="1006"/>
        </w:numPr>
        <w:pStyle w:val="Compact"/>
      </w:pPr>
      <w:r>
        <w:rPr>
          <w:bCs/>
          <w:b/>
        </w:rPr>
        <w:t xml:space="preserve">Product Lifespan (tprqdgpdhp):</w:t>
      </w:r>
      <w:r>
        <w:t xml:space="preserve"> </w:t>
      </w:r>
      <w:r>
        <w:t xml:space="preserve">3 years.</w:t>
      </w:r>
    </w:p>
    <w:p>
      <w:pPr>
        <w:numPr>
          <w:ilvl w:val="0"/>
          <w:numId w:val="1006"/>
        </w:numPr>
        <w:pStyle w:val="Compact"/>
      </w:pPr>
      <w:r>
        <w:rPr>
          <w:bCs/>
          <w:b/>
        </w:rPr>
        <w:t xml:space="preserve">Energy Consumption in Use (zfqnfwgwxe):</w:t>
      </w:r>
      <w:r>
        <w:t xml:space="preserve"> </w:t>
      </w:r>
      <w:r>
        <w:t xml:space="preserve">5 kWh/year.</w:t>
      </w:r>
    </w:p>
    <w:p>
      <w:pPr>
        <w:numPr>
          <w:ilvl w:val="0"/>
          <w:numId w:val="1006"/>
        </w:numPr>
        <w:pStyle w:val="Compact"/>
      </w:pPr>
      <w:r>
        <w:rPr>
          <w:bCs/>
          <w:b/>
        </w:rPr>
        <w:t xml:space="preserve">Assumed Use Location:</w:t>
      </w:r>
      <w:r>
        <w:t xml:space="preserve"> </w:t>
      </w:r>
      <w:r>
        <w:t xml:space="preserve">Europe.</w:t>
      </w:r>
    </w:p>
    <w:p>
      <w:pPr>
        <w:numPr>
          <w:ilvl w:val="0"/>
          <w:numId w:val="1006"/>
        </w:numPr>
        <w:pStyle w:val="Compact"/>
      </w:pPr>
      <w:r>
        <w:rPr>
          <w:bCs/>
          <w:b/>
        </w:rPr>
        <w:t xml:space="preserve">Europe Grid Emission Factor:</w:t>
      </w:r>
      <w:r>
        <w:t xml:space="preserve"> </w:t>
      </w:r>
      <w:r>
        <w:t xml:space="preserve">0.238 kgCO₂e/kWh (EU average, 2019 data).</w:t>
      </w:r>
    </w:p>
    <w:bookmarkEnd w:id="28"/>
    <w:bookmarkStart w:id="29" w:name="end-of-life-eol-scenarios"/>
    <w:p>
      <w:pPr>
        <w:pStyle w:val="Heading3"/>
      </w:pPr>
      <w:r>
        <w:t xml:space="preserve">3.5. End-of-Life (EoL) Scenarios</w:t>
      </w:r>
    </w:p>
    <w:p>
      <w:pPr>
        <w:numPr>
          <w:ilvl w:val="0"/>
          <w:numId w:val="1007"/>
        </w:numPr>
        <w:pStyle w:val="Compact"/>
      </w:pPr>
      <w:r>
        <w:rPr>
          <w:bCs/>
          <w:b/>
        </w:rPr>
        <w:t xml:space="preserve">Recyclability Percentage (tgtskmvvtr):</w:t>
      </w:r>
      <w:r>
        <w:t xml:space="preserve"> </w:t>
      </w:r>
      <w:r>
        <w:t xml:space="preserve">75%.</w:t>
      </w:r>
    </w:p>
    <w:p>
      <w:pPr>
        <w:numPr>
          <w:ilvl w:val="0"/>
          <w:numId w:val="1007"/>
        </w:numPr>
        <w:pStyle w:val="Compact"/>
      </w:pPr>
      <w:r>
        <w:rPr>
          <w:bCs/>
          <w:b/>
        </w:rPr>
        <w:t xml:space="preserve">Circular/Take-back Programs (vdqejngsix):</w:t>
      </w:r>
      <w:r>
        <w:t xml:space="preserve"> </w:t>
      </w:r>
      <w:r>
        <w:t xml:space="preserve">In place for key components.</w:t>
      </w:r>
    </w:p>
    <w:p>
      <w:pPr>
        <w:numPr>
          <w:ilvl w:val="0"/>
          <w:numId w:val="1007"/>
        </w:numPr>
        <w:pStyle w:val="Compact"/>
      </w:pPr>
      <w:r>
        <w:rPr>
          <w:bCs/>
          <w:b/>
        </w:rPr>
        <w:t xml:space="preserve">Generic Waste to Landfill Emission Factor:</w:t>
      </w:r>
      <w:r>
        <w:t xml:space="preserve"> </w:t>
      </w:r>
      <w:r>
        <w:t xml:space="preserve">0.446 kgCO₂e/kg (DEFRA 2025).</w:t>
      </w:r>
    </w:p>
    <w:p>
      <w:r>
        <w:pict>
          <v:rect style="width:0;height:1.5pt" o:hralign="center" o:hrstd="t" o:hr="t"/>
        </w:pict>
      </w:r>
    </w:p>
    <w:bookmarkEnd w:id="29"/>
    <w:bookmarkEnd w:id="30"/>
    <w:bookmarkStart w:id="45" w:name="Xf4d341b57cb8ff6426d37c7f1f667033fe77876"/>
    <w:p>
      <w:pPr>
        <w:pStyle w:val="Heading2"/>
      </w:pPr>
      <w:r>
        <w:t xml:space="preserve">4. Emission Calculation (Activity * Emission Factor = CO₂e)</w:t>
      </w:r>
    </w:p>
    <w:p>
      <w:pPr>
        <w:pStyle w:val="FirstParagraph"/>
      </w:pPr>
      <w:r>
        <w:t xml:space="preserve">Emissions are calculated for each lifecycle stage and categorized according to the GHG Protocol. All calculations apply Global Warming Potentials (GWP) to convert all greenhouse gases into CO₂ equivalents (CO₂e).</w:t>
      </w:r>
    </w:p>
    <w:bookmarkStart w:id="31" w:name="X7fa1949c9797a37af7df8b4b7790d56fdda4c8b"/>
    <w:p>
      <w:pPr>
        <w:pStyle w:val="Heading3"/>
      </w:pPr>
      <w:r>
        <w:t xml:space="preserve">4.1. Raw Material Acquisition &amp; Processing (Scope 3, Category 1)</w:t>
      </w:r>
    </w:p>
    <w:p>
      <w:pPr>
        <w:pStyle w:val="FirstParagraph"/>
      </w:pPr>
      <w:r>
        <w:t xml:space="preserve">Based on the provided BOM, the total embodied carbon from raw materials and their processing is sum of "Total Carbon" column.</w:t>
      </w:r>
    </w:p>
    <w:p>
      <w:pPr>
        <w:pStyle w:val="BodyText"/>
      </w:pPr>
      <w:r>
        <w:rPr>
          <w:bCs/>
          <w:b/>
        </w:rPr>
        <w:t xml:space="preserve">Total Material Emissions = 2.579 kgCO₂e</w:t>
      </w:r>
    </w:p>
    <w:bookmarkEnd w:id="31"/>
    <w:bookmarkStart w:id="35" w:name="manufacturing-phase-emissions"/>
    <w:p>
      <w:pPr>
        <w:pStyle w:val="Heading3"/>
      </w:pPr>
      <w:r>
        <w:t xml:space="preserve">4.2. Manufacturing Phase Emissions</w:t>
      </w:r>
    </w:p>
    <w:bookmarkStart w:id="32" w:name="scope-1-direct-emissions"/>
    <w:p>
      <w:pPr>
        <w:pStyle w:val="Heading4"/>
      </w:pPr>
      <w:r>
        <w:t xml:space="preserve">Scope 1: Direct Emissions</w:t>
      </w:r>
    </w:p>
    <w:p>
      <w:pPr>
        <w:pStyle w:val="FirstParagraph"/>
      </w:pPr>
      <w:r>
        <w:t xml:space="preserve">For the production of oipslmtdgn, direct emissions from owned or controlled sources (e.g., on-site fuel combustion) are assumed to be negligible in the context of this product\'s manufacturing process, or are captured within the Scope 2 electricity use if applicable. No specific data was provided for direct process emissions or on-site fuel combustion. This will be subject to refinement with primary data from kfxgurtzye\'s facility.</w:t>
      </w:r>
    </w:p>
    <w:bookmarkEnd w:id="32"/>
    <w:bookmarkStart w:id="33" w:name="scope-2-purchased-electricity-emissions"/>
    <w:p>
      <w:pPr>
        <w:pStyle w:val="Heading4"/>
      </w:pPr>
      <w:r>
        <w:t xml:space="preserve">Scope 2: Purchased Electricity Emissions</w:t>
      </w:r>
    </w:p>
    <w:p>
      <w:pPr>
        <w:numPr>
          <w:ilvl w:val="0"/>
          <w:numId w:val="1008"/>
        </w:numPr>
        <w:pStyle w:val="Compact"/>
      </w:pPr>
      <w:r>
        <w:t xml:space="preserve">Energy Intensity: 12 kWh/unit [qvxgdvmwvs]</w:t>
      </w:r>
    </w:p>
    <w:p>
      <w:pPr>
        <w:numPr>
          <w:ilvl w:val="0"/>
          <w:numId w:val="1008"/>
        </w:numPr>
        <w:pStyle w:val="Compact"/>
      </w:pPr>
      <w:r>
        <w:t xml:space="preserve">China Grid Emission Factor (effective): 0.58 kgCO₂e/kWh (total grid mix)</w:t>
      </w:r>
    </w:p>
    <w:p>
      <w:pPr>
        <w:numPr>
          <w:ilvl w:val="0"/>
          <w:numId w:val="1008"/>
        </w:numPr>
        <w:pStyle w:val="Compact"/>
      </w:pPr>
      <w:r>
        <w:t xml:space="preserve">Renewable Energy Usage: 60% [prtyrinkun]</w:t>
      </w:r>
    </w:p>
    <w:p>
      <w:pPr>
        <w:pStyle w:val="FirstParagraph"/>
      </w:pPr>
      <w:r>
        <w:t xml:space="preserve">Calculation: (12 kWh/unit * 0.58 kgCO₂e/kWh) * (1 - 0.60) = 6.96 kgCO₂e/unit * 0.40 = 2.784 kgCO₂e/unit</w:t>
      </w:r>
    </w:p>
    <w:p>
      <w:pPr>
        <w:pStyle w:val="BodyText"/>
      </w:pPr>
      <w:r>
        <w:rPr>
          <w:bCs/>
          <w:b/>
        </w:rPr>
        <w:t xml:space="preserve">Total Scope 2 Emissions = 2.784 kgCO₂e</w:t>
      </w:r>
    </w:p>
    <w:bookmarkEnd w:id="33"/>
    <w:bookmarkStart w:id="34" w:name="scope-3-waste-from-operations-category-5"/>
    <w:p>
      <w:pPr>
        <w:pStyle w:val="Heading4"/>
      </w:pPr>
      <w:r>
        <w:t xml:space="preserve">Scope 3: Waste from Operations (Category 5)</w:t>
      </w:r>
    </w:p>
    <w:p>
      <w:pPr>
        <w:pStyle w:val="FirstParagraph"/>
      </w:pPr>
      <w:r>
        <w:t xml:space="preserve">Assuming 5% material waste during manufacturing, for a total product mass of 0.35 kg (0.1+0.05*assumed_PCB_mass_per_unit + 0.08 + 0.02 + 0.1, here, using sum of qty for simplicity: 0.35 kg). Let\'s refine the total product mass. Sum of Qty from BOM items (Aluminum Casing, Plastic Housing, Copper Wire, Electronic Components) = 0.1 + 0.08 + 0.02 + 0.1 = 0.3 kg. For PCB, assuming a small PCB unit is approximately 0.02 kg. So, total product mass is approximately 0.3 + (0.05 * 0.02) = 0.301 kg.</w:t>
      </w:r>
      <w:r>
        <w:t xml:space="preserve"> </w:t>
      </w:r>
      <w:r>
        <w:t xml:space="preserve">Let\'s use the sum of quantities: 0.1 (Al) + 0.05 (PCB unit) + 0.08 (Plastic) + 0.02 (Cu) + 0.1 (Elect.Comp) = 0.35 kg (if PCB unit is interpreted as 1kg of PCB which is highly unlikely for a small product).</w:t>
      </w:r>
      <w:r>
        <w:t xml:space="preserve"> </w:t>
      </w:r>
      <w:r>
        <w:t xml:space="preserve">Let\'s use the BOM `Qty` as the mass for calculation.</w:t>
      </w:r>
      <w:r>
        <w:t xml:space="preserve"> </w:t>
      </w:r>
      <w:r>
        <w:t xml:space="preserve">Total mass for waste calculation = 0.1 kg (Al) + 0.05 * (assumed average mass of a PCB unit for oipslmtdgn, e.g., 0.05 kg) + 0.08 kg (Plastic) + 0.02 kg (Copper) + 0.1 kg (Electronic Comp) = 0.1 + 0.0025 + 0.08 + 0.02 + 0.1 = 0.3025 kg.</w:t>
      </w:r>
      <w:r>
        <w:t xml:space="preserve"> </w:t>
      </w:r>
      <w:r>
        <w:t xml:space="preserve">No, this is incorrect. The BOM specifies \'Unit\' as `kg` or `unit`. I should sum the \'Qty\' of items with \'kg\' units and make an assumption for the \'unit\' quantity.</w:t>
      </w:r>
      <w:r>
        <w:t xml:space="preserve"> </w:t>
      </w:r>
      <w:r>
        <w:t xml:space="preserve">Let\'s re-evaluate total product mass based on the BOM Qty:</w:t>
      </w:r>
      <w:r>
        <w:t xml:space="preserve"> </w:t>
      </w:r>
      <w:r>
        <w:t xml:space="preserve">Total Mass (kg) = 0.1 (Al) + 0.08 (Plastic) + 0.02 (Copper) + 0.1 (Electronic Components) = 0.3 kg.</w:t>
      </w:r>
      <w:r>
        <w:t xml:space="preserve"> </w:t>
      </w:r>
      <w:r>
        <w:t xml:space="preserve">For PCB (0.05 unit), I will assume 1 \'unit\' of PCB is 0.1kg for estimating physical mass. So, 0.05 * 0.1kg = 0.005 kg.</w:t>
      </w:r>
      <w:r>
        <w:t xml:space="preserve"> </w:t>
      </w:r>
      <w:r>
        <w:t xml:space="preserve">Total physical mass for waste calculation = 0.305 kg.</w:t>
      </w:r>
      <w:r>
        <w:t xml:space="preserve"> </w:t>
      </w:r>
      <w:r>
        <w:t xml:space="preserve">Waste percentage: 5%</w:t>
      </w:r>
      <w:r>
        <w:t xml:space="preserve"> </w:t>
      </w:r>
      <w:r>
        <w:t xml:space="preserve">Waste mass: 0.305 kg * 0.05 = 0.01525 kg</w:t>
      </w:r>
      <w:r>
        <w:t xml:space="preserve"> </w:t>
      </w:r>
      <w:r>
        <w:t xml:space="preserve">Waste Emission Factor (Landfill): 0.446 kgCO₂e/kg</w:t>
      </w:r>
      <w:r>
        <w:t xml:space="preserve"> </w:t>
      </w:r>
      <w:r>
        <w:t xml:space="preserve">Calculation: 0.01525 kg * 0.446 kgCO₂e/kg = 0.0068 kgCO₂e</w:t>
      </w:r>
    </w:p>
    <w:p>
      <w:pPr>
        <w:pStyle w:val="BodyText"/>
      </w:pPr>
      <w:r>
        <w:rPr>
          <w:bCs/>
          <w:b/>
        </w:rPr>
        <w:t xml:space="preserve">Total Scope 3 (Waste from Operations) = 0.0068 kgCO₂e</w:t>
      </w:r>
    </w:p>
    <w:bookmarkEnd w:id="34"/>
    <w:bookmarkEnd w:id="35"/>
    <w:bookmarkStart w:id="38" w:name="transport-emissions-scope-3"/>
    <w:p>
      <w:pPr>
        <w:pStyle w:val="Heading3"/>
      </w:pPr>
      <w:r>
        <w:t xml:space="preserve">4.3. Transport Emissions (Scope 3)</w:t>
      </w:r>
    </w:p>
    <w:bookmarkStart w:id="36" w:name="X1ba14597aa58affb2f1bc7a69940c64f4addd9d"/>
    <w:p>
      <w:pPr>
        <w:pStyle w:val="Heading4"/>
      </w:pPr>
      <w:r>
        <w:t xml:space="preserve">Upstream Transportation and Distribution (Category 4)</w:t>
      </w:r>
    </w:p>
    <w:p>
      <w:pPr>
        <w:pStyle w:val="FirstParagraph"/>
      </w:pPr>
      <w:r>
        <w:t xml:space="preserve">Total material mass for transport = 0.305 kg (as calculated above).</w:t>
      </w:r>
      <w:r>
        <w:t xml:space="preserve"> </w:t>
      </w:r>
      <w:r>
        <w:t xml:space="preserve">Inbound distance: 1500 km [pdhodfnjis]</w:t>
      </w:r>
    </w:p>
    <w:p>
      <w:pPr>
        <w:pStyle w:val="BodyText"/>
      </w:pPr>
      <w:r>
        <w:t xml:space="preserve">Calculation: (0.305 kg / 1000 kg/tonne) * 1500 km * 0.09 kgCO₂e/tkm = 0.000305 tonnes * 1500 km * 0.09 kgCO₂e/tkm = 0.0412 kgCO₂e</w:t>
      </w:r>
    </w:p>
    <w:p>
      <w:pPr>
        <w:pStyle w:val="BodyText"/>
      </w:pPr>
      <w:r>
        <w:rPr>
          <w:bCs/>
          <w:b/>
        </w:rPr>
        <w:t xml:space="preserve">Total Upstream Transport Emissions = 0.0412 kgCO₂e</w:t>
      </w:r>
    </w:p>
    <w:bookmarkEnd w:id="36"/>
    <w:bookmarkStart w:id="37" w:name="Xf99624fd397bf9c6d9f341ae6f5e42f57c50438"/>
    <w:p>
      <w:pPr>
        <w:pStyle w:val="Heading4"/>
      </w:pPr>
      <w:r>
        <w:t xml:space="preserve">Downstream Transportation and Distribution (Category 9) - Last-Mile Delivery</w:t>
      </w:r>
    </w:p>
    <w:p>
      <w:pPr>
        <w:pStyle w:val="FirstParagraph"/>
      </w:pPr>
      <w:r>
        <w:t xml:space="preserve">This is considered for the holistic assessment beyond the factory-gate boundary for the primary PCF declaration.</w:t>
      </w:r>
    </w:p>
    <w:p>
      <w:pPr>
        <w:pStyle w:val="BodyText"/>
      </w:pPr>
      <w:r>
        <w:t xml:space="preserve">Last-Mile Distance: 50 km (assumed)</w:t>
      </w:r>
    </w:p>
    <w:p>
      <w:pPr>
        <w:pStyle w:val="BodyText"/>
      </w:pPr>
      <w:r>
        <w:t xml:space="preserve">Calculation: 1 unit * 0.2 kgCO₂e/unit = 0.2 kgCO₂e</w:t>
      </w:r>
    </w:p>
    <w:p>
      <w:pPr>
        <w:pStyle w:val="BodyText"/>
      </w:pPr>
      <w:r>
        <w:rPr>
          <w:bCs/>
          <w:b/>
        </w:rPr>
        <w:t xml:space="preserve">Total Last-Mile Delivery Emissions = 0.200 kgCO₂e</w:t>
      </w:r>
    </w:p>
    <w:bookmarkEnd w:id="37"/>
    <w:bookmarkEnd w:id="38"/>
    <w:bookmarkStart w:id="39" w:name="use-phase-emissions-scope-3-category-11"/>
    <w:p>
      <w:pPr>
        <w:pStyle w:val="Heading3"/>
      </w:pPr>
      <w:r>
        <w:t xml:space="preserve">4.4. Use Phase Emissions (Scope 3, Category 11)</w:t>
      </w:r>
    </w:p>
    <w:p>
      <w:pPr>
        <w:numPr>
          <w:ilvl w:val="0"/>
          <w:numId w:val="1009"/>
        </w:numPr>
        <w:pStyle w:val="Compact"/>
      </w:pPr>
      <w:r>
        <w:t xml:space="preserve">Product Lifespan: 3 years [tprqdgpdhp]</w:t>
      </w:r>
    </w:p>
    <w:p>
      <w:pPr>
        <w:numPr>
          <w:ilvl w:val="0"/>
          <w:numId w:val="1009"/>
        </w:numPr>
        <w:pStyle w:val="Compact"/>
      </w:pPr>
      <w:r>
        <w:t xml:space="preserve">Energy Consumption in Use: 5 kWh/year [zfqnfwgwxe]</w:t>
      </w:r>
    </w:p>
    <w:p>
      <w:pPr>
        <w:numPr>
          <w:ilvl w:val="0"/>
          <w:numId w:val="1009"/>
        </w:numPr>
        <w:pStyle w:val="Compact"/>
      </w:pPr>
      <w:r>
        <w:t xml:space="preserve">Europe Grid Emission Factor: 0.238 kgCO₂e/kWh</w:t>
      </w:r>
    </w:p>
    <w:p>
      <w:pPr>
        <w:pStyle w:val="FirstParagraph"/>
      </w:pPr>
      <w:r>
        <w:t xml:space="preserve">Calculation: 5 kWh/year * 3 years * 0.238 kgCO₂e/kWh = 3.570 kgCO₂e</w:t>
      </w:r>
    </w:p>
    <w:p>
      <w:pPr>
        <w:pStyle w:val="BodyText"/>
      </w:pPr>
      <w:r>
        <w:rPr>
          <w:bCs/>
          <w:b/>
        </w:rPr>
        <w:t xml:space="preserve">Total Use Phase Emissions = 3.570 kgCO₂e</w:t>
      </w:r>
    </w:p>
    <w:bookmarkEnd w:id="39"/>
    <w:bookmarkStart w:id="42" w:name="Xbc09cc43c197787cf43d8f27601d9faff3fc4e4"/>
    <w:p>
      <w:pPr>
        <w:pStyle w:val="Heading3"/>
      </w:pPr>
      <w:r>
        <w:t xml:space="preserve">4.5. End-of-Life (EoL) Emissions and Credits (Scope 3, Category 12)</w:t>
      </w:r>
    </w:p>
    <w:p>
      <w:pPr>
        <w:pStyle w:val="FirstParagraph"/>
      </w:pPr>
      <w:r>
        <w:t xml:space="preserve">Total physical mass of product for EoL = 0.305 kg.</w:t>
      </w:r>
    </w:p>
    <w:p>
      <w:pPr>
        <w:numPr>
          <w:ilvl w:val="0"/>
          <w:numId w:val="1010"/>
        </w:numPr>
        <w:pStyle w:val="Compact"/>
      </w:pPr>
      <w:r>
        <w:t xml:space="preserve">Recyclability Percentage: 75% [tgtskmvvtr]</w:t>
      </w:r>
    </w:p>
    <w:p>
      <w:pPr>
        <w:numPr>
          <w:ilvl w:val="0"/>
          <w:numId w:val="1010"/>
        </w:numPr>
        <w:pStyle w:val="Compact"/>
      </w:pPr>
      <w:r>
        <w:t xml:space="preserve">Disposal Percentage: 25%</w:t>
      </w:r>
    </w:p>
    <w:bookmarkStart w:id="40" w:name="disposal-emissions-25-to-landfill"/>
    <w:p>
      <w:pPr>
        <w:pStyle w:val="Heading4"/>
      </w:pPr>
      <w:r>
        <w:t xml:space="preserve">Disposal Emissions (25% to landfill):</w:t>
      </w:r>
    </w:p>
    <w:p>
      <w:pPr>
        <w:pStyle w:val="FirstParagraph"/>
      </w:pPr>
      <w:r>
        <w:t xml:space="preserve">Calculation: 0.305 kg * 0.25 * 0.446 kgCO₂e/kg (landfill) = 0.034 kgCO₂e</w:t>
      </w:r>
    </w:p>
    <w:bookmarkEnd w:id="40"/>
    <w:bookmarkStart w:id="41" w:name="recycling-credits-75-recycled"/>
    <w:p>
      <w:pPr>
        <w:pStyle w:val="Heading4"/>
      </w:pPr>
      <w:r>
        <w:t xml:space="preserve">Recycling Credits (75% recycled):</w:t>
      </w:r>
    </w:p>
    <w:p>
      <w:pPr>
        <w:pStyle w:val="FirstParagraph"/>
      </w:pPr>
      <w:r>
        <w:t xml:space="preserve">A credit is applied for the avoided emissions from recycling, assuming 50% of the initial material production footprint is avoided for the recycled portion. Initial material impact from BOM = 2.579 kgCO₂e.</w:t>
      </w:r>
      <w:r>
        <w:t xml:space="preserve"> </w:t>
      </w:r>
      <w:r>
        <w:t xml:space="preserve">Calculation: 2.579 kgCO₂e (material impact) * 0.75 (recycled) * -0.5 (credit factor) = -0.967 kgCO₂e</w:t>
      </w:r>
    </w:p>
    <w:p>
      <w:pPr>
        <w:pStyle w:val="BodyText"/>
      </w:pPr>
      <w:r>
        <w:rPr>
          <w:bCs/>
          <w:b/>
        </w:rPr>
        <w:t xml:space="preserve">Total End-of-Life Net Emissions = 0.034 kgCO₂e + (-0.967 kgCO₂e) = -0.933 kgCO₂e</w:t>
      </w:r>
    </w:p>
    <w:bookmarkEnd w:id="41"/>
    <w:bookmarkEnd w:id="42"/>
    <w:bookmarkStart w:id="43" w:name="X9b8f96e5fd6ec30b02c91cc11d45f1568d9808c"/>
    <w:p>
      <w:pPr>
        <w:pStyle w:val="Heading3"/>
      </w:pPr>
      <w:r>
        <w:t xml:space="preserve">4.6. Summary of Emissions by Scope and Lifecycle Stage</w:t>
      </w:r>
    </w:p>
    <w:p>
      <w:pPr>
        <w:pStyle w:val="FirstParagraph"/>
      </w:pPr>
      <w:r>
        <w:t xml:space="preserve">For the declared Product Carbon Footprint (PCF) at **factory-gate (cradle-to-gate)**: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(kgCO₂e)</w:t>
            </w:r>
          </w:p>
        </w:tc>
      </w:tr>
      <w:tr>
        <w:tc>
          <w:tcPr/>
          <w:p>
            <w:pPr>
              <w:pStyle w:val="Compact"/>
              <w:jc w:val="left"/>
            </w:pPr>
            <w:r>
              <w:t xml:space="preserve">Raw Material Acquisition &amp; Processing</w:t>
            </w:r>
          </w:p>
        </w:tc>
        <w:tc>
          <w:tcPr/>
          <w:p>
            <w:pPr>
              <w:pStyle w:val="Compact"/>
              <w:jc w:val="left"/>
            </w:pPr>
            <w:r>
              <w:t xml:space="preserve">Scope 3 (Cat 1)</w:t>
            </w:r>
          </w:p>
        </w:tc>
        <w:tc>
          <w:tcPr/>
          <w:p>
            <w:pPr>
              <w:pStyle w:val="Compact"/>
              <w:jc w:val="left"/>
            </w:pPr>
            <w:r>
              <w:t xml:space="preserve">2.579</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 (assumed negligible)</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2.784</w:t>
            </w:r>
          </w:p>
        </w:tc>
      </w:tr>
      <w:tr>
        <w:tc>
          <w:tcPr/>
          <w:p>
            <w:pPr>
              <w:pStyle w:val="Compact"/>
              <w:jc w:val="left"/>
            </w:pPr>
            <w:r>
              <w:t xml:space="preserve">Waste from Operations</w:t>
            </w:r>
          </w:p>
        </w:tc>
        <w:tc>
          <w:tcPr/>
          <w:p>
            <w:pPr>
              <w:pStyle w:val="Compact"/>
              <w:jc w:val="left"/>
            </w:pPr>
            <w:r>
              <w:t xml:space="preserve">Scope 3 (Cat 5)</w:t>
            </w:r>
          </w:p>
        </w:tc>
        <w:tc>
          <w:tcPr/>
          <w:p>
            <w:pPr>
              <w:pStyle w:val="Compact"/>
              <w:jc w:val="left"/>
            </w:pPr>
            <w:r>
              <w:t xml:space="preserve">0.007</w:t>
            </w:r>
          </w:p>
        </w:tc>
      </w:tr>
      <w:tr>
        <w:tc>
          <w:tcPr/>
          <w:p>
            <w:pPr>
              <w:pStyle w:val="Compact"/>
              <w:jc w:val="left"/>
            </w:pPr>
            <w:r>
              <w:t xml:space="preserve">Upstream Transportation &amp; Distribution</w:t>
            </w:r>
          </w:p>
        </w:tc>
        <w:tc>
          <w:tcPr/>
          <w:p>
            <w:pPr>
              <w:pStyle w:val="Compact"/>
              <w:jc w:val="left"/>
            </w:pPr>
            <w:r>
              <w:t xml:space="preserve">Scope 3 (Cat 4)</w:t>
            </w:r>
          </w:p>
        </w:tc>
        <w:tc>
          <w:tcPr/>
          <w:p>
            <w:pPr>
              <w:pStyle w:val="Compact"/>
              <w:jc w:val="left"/>
            </w:pPr>
            <w:r>
              <w:t xml:space="preserve">0.041</w:t>
            </w:r>
          </w:p>
        </w:tc>
      </w:tr>
      <w:tr>
        <w:tc>
          <w:tcPr>
            <w:gridSpan w:val="2"/>
          </w:tcPr>
          <w:p>
            <w:pPr>
              <w:pStyle w:val="Compact"/>
              <w:jc w:val="right"/>
            </w:pPr>
            <w:r>
              <w:rPr>
                <w:bCs/>
                <w:b/>
              </w:rPr>
              <w:t xml:space="preserve">Total PCF (Factory-Gate)</w:t>
            </w:r>
          </w:p>
        </w:tc>
        <w:tc>
          <w:tcPr/>
          <w:p>
            <w:pPr>
              <w:pStyle w:val="Compact"/>
              <w:jc w:val="left"/>
            </w:pPr>
            <w:r>
              <w:rPr>
                <w:bCs/>
                <w:b/>
              </w:rPr>
              <w:t xml:space="preserve">5.411</w:t>
            </w:r>
          </w:p>
        </w:tc>
      </w:tr>
    </w:tbl>
    <w:p>
      <w:pPr>
        <w:pStyle w:val="BodyText"/>
      </w:pPr>
      <w:r>
        <w:t xml:space="preserve">For the **Full Lifecycle Assessment (Cradle-to-Grave)**: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(kgCO₂e)</w:t>
            </w:r>
          </w:p>
        </w:tc>
      </w:tr>
      <w:tr>
        <w:tc>
          <w:tcPr/>
          <w:p>
            <w:pPr>
              <w:pStyle w:val="Compact"/>
              <w:jc w:val="left"/>
            </w:pPr>
            <w:r>
              <w:t xml:space="preserve">Raw Material Acquisition &amp; Processing</w:t>
            </w:r>
          </w:p>
        </w:tc>
        <w:tc>
          <w:tcPr/>
          <w:p>
            <w:pPr>
              <w:pStyle w:val="Compact"/>
              <w:jc w:val="left"/>
            </w:pPr>
            <w:r>
              <w:t xml:space="preserve">Scope 3 (Cat 1)</w:t>
            </w:r>
          </w:p>
        </w:tc>
        <w:tc>
          <w:tcPr/>
          <w:p>
            <w:pPr>
              <w:pStyle w:val="Compact"/>
              <w:jc w:val="left"/>
            </w:pPr>
            <w:r>
              <w:t xml:space="preserve">2.579</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2.784</w:t>
            </w:r>
          </w:p>
        </w:tc>
      </w:tr>
      <w:tr>
        <w:tc>
          <w:tcPr/>
          <w:p>
            <w:pPr>
              <w:pStyle w:val="Compact"/>
              <w:jc w:val="left"/>
            </w:pPr>
            <w:r>
              <w:t xml:space="preserve">Waste from Operations</w:t>
            </w:r>
          </w:p>
        </w:tc>
        <w:tc>
          <w:tcPr/>
          <w:p>
            <w:pPr>
              <w:pStyle w:val="Compact"/>
              <w:jc w:val="left"/>
            </w:pPr>
            <w:r>
              <w:t xml:space="preserve">Scope 3 (Cat 5)</w:t>
            </w:r>
          </w:p>
        </w:tc>
        <w:tc>
          <w:tcPr/>
          <w:p>
            <w:pPr>
              <w:pStyle w:val="Compact"/>
              <w:jc w:val="left"/>
            </w:pPr>
            <w:r>
              <w:t xml:space="preserve">0.007</w:t>
            </w:r>
          </w:p>
        </w:tc>
      </w:tr>
      <w:tr>
        <w:tc>
          <w:tcPr/>
          <w:p>
            <w:pPr>
              <w:pStyle w:val="Compact"/>
              <w:jc w:val="left"/>
            </w:pPr>
            <w:r>
              <w:t xml:space="preserve">Upstream Transportation &amp; Distribution</w:t>
            </w:r>
          </w:p>
        </w:tc>
        <w:tc>
          <w:tcPr/>
          <w:p>
            <w:pPr>
              <w:pStyle w:val="Compact"/>
              <w:jc w:val="left"/>
            </w:pPr>
            <w:r>
              <w:t xml:space="preserve">Scope 3 (Cat 4)</w:t>
            </w:r>
          </w:p>
        </w:tc>
        <w:tc>
          <w:tcPr/>
          <w:p>
            <w:pPr>
              <w:pStyle w:val="Compact"/>
              <w:jc w:val="left"/>
            </w:pPr>
            <w:r>
              <w:t xml:space="preserve">0.041</w:t>
            </w:r>
          </w:p>
        </w:tc>
      </w:tr>
      <w:tr>
        <w:tc>
          <w:tcPr/>
          <w:p>
            <w:pPr>
              <w:pStyle w:val="Compact"/>
              <w:jc w:val="left"/>
            </w:pPr>
            <w:r>
              <w:t xml:space="preserve">Downstream Transportation &amp; Distribution (Last-Mile)</w:t>
            </w:r>
          </w:p>
        </w:tc>
        <w:tc>
          <w:tcPr/>
          <w:p>
            <w:pPr>
              <w:pStyle w:val="Compact"/>
              <w:jc w:val="left"/>
            </w:pPr>
            <w:r>
              <w:t xml:space="preserve">Scope 3 (Cat 9)</w:t>
            </w:r>
          </w:p>
        </w:tc>
        <w:tc>
          <w:tcPr/>
          <w:p>
            <w:pPr>
              <w:pStyle w:val="Compact"/>
              <w:jc w:val="left"/>
            </w:pPr>
            <w:r>
              <w:t xml:space="preserve">0.200</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3.570</w:t>
            </w:r>
          </w:p>
        </w:tc>
      </w:tr>
      <w:tr>
        <w:tc>
          <w:tcPr/>
          <w:p>
            <w:pPr>
              <w:pStyle w:val="Compact"/>
              <w:jc w:val="left"/>
            </w:pPr>
            <w:r>
              <w:t xml:space="preserve">End-of-Life (Net)</w:t>
            </w:r>
          </w:p>
        </w:tc>
        <w:tc>
          <w:tcPr/>
          <w:p>
            <w:pPr>
              <w:pStyle w:val="Compact"/>
              <w:jc w:val="left"/>
            </w:pPr>
            <w:r>
              <w:t xml:space="preserve">Scope 3 (Cat 12)</w:t>
            </w:r>
          </w:p>
        </w:tc>
        <w:tc>
          <w:tcPr/>
          <w:p>
            <w:pPr>
              <w:pStyle w:val="Compact"/>
              <w:jc w:val="left"/>
            </w:pPr>
            <w:r>
              <w:t xml:space="preserve">-0.933</w:t>
            </w:r>
          </w:p>
        </w:tc>
      </w:tr>
      <w:tr>
        <w:tc>
          <w:tcPr>
            <w:gridSpan w:val="2"/>
          </w:tcPr>
          <w:p>
            <w:pPr>
              <w:pStyle w:val="Compact"/>
              <w:jc w:val="right"/>
            </w:pPr>
            <w:r>
              <w:rPr>
                <w:bCs/>
                <w:b/>
              </w:rPr>
              <w:t xml:space="preserve">Total PCF (Cradle-to-Grave)</w:t>
            </w:r>
          </w:p>
        </w:tc>
        <w:tc>
          <w:tcPr/>
          <w:p>
            <w:pPr>
              <w:pStyle w:val="Compact"/>
              <w:jc w:val="left"/>
            </w:pPr>
            <w:r>
              <w:rPr>
                <w:bCs/>
                <w:b/>
              </w:rPr>
              <w:t xml:space="preserve">8.248</w:t>
            </w:r>
          </w:p>
        </w:tc>
      </w:tr>
    </w:tbl>
    <w:bookmarkEnd w:id="43"/>
    <w:bookmarkStart w:id="44" w:name="X39db36958ac3f1b7b6914e15908983dbbc51aad"/>
    <w:p>
      <w:pPr>
        <w:pStyle w:val="Heading3"/>
      </w:pPr>
      <w:r>
        <w:t xml:space="preserve">4.7. GHG Protocol 2026 LSR Update &amp; Scope 3 Compliance</w:t>
      </w:r>
    </w:p>
    <w:p>
      <w:pPr>
        <w:pStyle w:val="FirstParagraph"/>
      </w:pPr>
      <w:r>
        <w:t xml:space="preserve">The analysis incorporates principles of the 2026 Land Sector and Removals (LSR) Standard. As oipslmtdgn is a manufactured electronic product, direct land-use change emissions and removals are not explicitly quantified at the product level without specific bio-based material data. However, the standard\'s broader focus on land management and CO₂ removals is acknowledged for future application, especially if kfxgurtzye integrates bio-based materials or carbon removal technologies. The LSR Standard, effective January 1, 2027, provides accounting requirements for land emissions, CO₂ removals, and technological CO₂ removals.</w:t>
      </w:r>
    </w:p>
    <w:p>
      <w:pPr>
        <w:pStyle w:val="BodyText"/>
      </w:pPr>
      <w:r>
        <w:t xml:space="preserve">For Scope 3 compliance, this analysis aims for at least 95% coverage as per 2026 requirements, which mandates quantification and reporting of almost all relevant Scope 3 emissions. The detailed BOM and inclusion of key upstream and downstream activities are designed to achieve this. Future iterations should focus on collecting more primary data from suppliers to enhance accuracy and meet the mandatory data disaggregation requirements (primary vs. secondary data) of the updated standard.</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Based on the Cradle-to-Grave assessment, the primary emission hotspots for oipslmtdgn are:</w:t>
      </w:r>
    </w:p>
    <w:p>
      <w:pPr>
        <w:numPr>
          <w:ilvl w:val="0"/>
          <w:numId w:val="1011"/>
        </w:numPr>
        <w:pStyle w:val="Compact"/>
      </w:pPr>
      <w:r>
        <w:rPr>
          <w:bCs/>
          <w:b/>
        </w:rPr>
        <w:t xml:space="preserve">Raw Material Acquisition &amp; Processing (Scope 3, Cat 1):</w:t>
      </w:r>
      <w:r>
        <w:t xml:space="preserve"> </w:t>
      </w:r>
      <w:r>
        <w:t xml:space="preserve">This stage represents a significant portion of the total footprint (approximately 31% of the positive emissions excluding EoL credit), highlighting the importance of sustainable material sourcing and design for recyclability.</w:t>
      </w:r>
    </w:p>
    <w:p>
      <w:pPr>
        <w:numPr>
          <w:ilvl w:val="0"/>
          <w:numId w:val="1011"/>
        </w:numPr>
        <w:pStyle w:val="Compact"/>
      </w:pPr>
      <w:r>
        <w:rPr>
          <w:bCs/>
          <w:b/>
        </w:rPr>
        <w:t xml:space="preserve">Manufacturing (Scope 2):</w:t>
      </w:r>
      <w:r>
        <w:t xml:space="preserve"> </w:t>
      </w:r>
      <w:r>
        <w:t xml:space="preserve">Purchased electricity for manufacturing is another major contributor (approximately 34% of positive emissions excluding EoL credit), indicating opportunities for increased renewable energy procurement and energy efficiency within the factory.</w:t>
      </w:r>
    </w:p>
    <w:p>
      <w:pPr>
        <w:numPr>
          <w:ilvl w:val="0"/>
          <w:numId w:val="1011"/>
        </w:numPr>
        <w:pStyle w:val="Compact"/>
      </w:pPr>
      <w:r>
        <w:rPr>
          <w:bCs/>
          <w:b/>
        </w:rPr>
        <w:t xml:space="preserve">Use Phase (Scope 3, Cat 11):</w:t>
      </w:r>
      <w:r>
        <w:t xml:space="preserve"> </w:t>
      </w:r>
      <w:r>
        <w:t xml:space="preserve">The energy consumption during the product\'s lifespan contributes substantially (approximately 43% of positive emissions excluding EoL credit), emphasizing the need for energy-efficient product design.</w:t>
      </w:r>
    </w:p>
    <w:bookmarkEnd w:id="46"/>
    <w:bookmarkStart w:id="48" w:name="data-reliability-and-recommendations"/>
    <w:p>
      <w:pPr>
        <w:pStyle w:val="Heading3"/>
      </w:pPr>
      <w:r>
        <w:t xml:space="preserve">5.2. Data Reliability and Recommendations</w:t>
      </w:r>
    </w:p>
    <w:p>
      <w:pPr>
        <w:pStyle w:val="FirstParagraph"/>
      </w:pPr>
      <w:r>
        <w:t xml:space="preserve">The reliability of this PCF analysis is based on a mix of specific and illustrative data. The detailed BOM provides a strong foundation for material impact. However, reliance on assumed or industry-average emission factors for certain processes and transport modes introduces a level of uncertainty. To enhance reliability:</w:t>
      </w:r>
    </w:p>
    <w:p>
      <w:pPr>
        <w:numPr>
          <w:ilvl w:val="0"/>
          <w:numId w:val="1012"/>
        </w:numPr>
        <w:pStyle w:val="Compact"/>
      </w:pPr>
      <w:r>
        <w:rPr>
          <w:bCs/>
          <w:b/>
        </w:rPr>
        <w:t xml:space="preserve">Primary Data Collection:</w:t>
      </w:r>
      <w:r>
        <w:t xml:space="preserve"> </w:t>
      </w:r>
      <w:r>
        <w:t xml:space="preserve">Implement a robust program to collect primary (supplier-specific) emissions data for key materials and processes, especially for high-impact components and manufacturing energy, in alignment with upcoming Scope 3 data disaggregation requirements.</w:t>
      </w:r>
    </w:p>
    <w:p>
      <w:pPr>
        <w:numPr>
          <w:ilvl w:val="0"/>
          <w:numId w:val="1012"/>
        </w:numPr>
        <w:pStyle w:val="Compact"/>
      </w:pPr>
      <w:r>
        <w:rPr>
          <w:bCs/>
          <w:b/>
        </w:rPr>
        <w:t xml:space="preserve">Supplier Engagement:</w:t>
      </w:r>
      <w:r>
        <w:t xml:space="preserve"> </w:t>
      </w:r>
      <w:r>
        <w:t xml:space="preserve">Collaborate with upstream suppliers to identify and implement decarbonization initiatives, particularly for aluminum and electronic component manufacturing.</w:t>
      </w:r>
    </w:p>
    <w:p>
      <w:pPr>
        <w:numPr>
          <w:ilvl w:val="0"/>
          <w:numId w:val="1012"/>
        </w:numPr>
        <w:pStyle w:val="Compact"/>
      </w:pPr>
      <w:r>
        <w:rPr>
          <w:bCs/>
          <w:b/>
        </w:rPr>
        <w:t xml:space="preserve">Energy Efficiency:</w:t>
      </w:r>
      <w:r>
        <w:t xml:space="preserve"> </w:t>
      </w:r>
      <w:r>
        <w:t xml:space="preserve">Further investigate and implement energy efficiency measures in the manufacturing facility in China and explore opportunities to increase the share of renewable energy beyond 60%.</w:t>
      </w:r>
    </w:p>
    <w:p>
      <w:pPr>
        <w:numPr>
          <w:ilvl w:val="0"/>
          <w:numId w:val="1012"/>
        </w:numPr>
        <w:pStyle w:val="Compact"/>
      </w:pPr>
      <w:r>
        <w:rPr>
          <w:bCs/>
          <w:b/>
        </w:rPr>
        <w:t xml:space="preserve">Product Design for Longevity and Efficiency:</w:t>
      </w:r>
      <w:r>
        <w:t xml:space="preserve"> </w:t>
      </w:r>
      <w:r>
        <w:t xml:space="preserve">Focus on designing for extended product lifespan and lower energy consumption during the use phase.</w:t>
      </w:r>
    </w:p>
    <w:p>
      <w:pPr>
        <w:numPr>
          <w:ilvl w:val="0"/>
          <w:numId w:val="1012"/>
        </w:numPr>
        <w:pStyle w:val="Compact"/>
      </w:pPr>
      <w:r>
        <w:rPr>
          <w:bCs/>
          <w:b/>
        </w:rPr>
        <w:t xml:space="preserve">End-of-Life Optimization:</w:t>
      </w:r>
      <w:r>
        <w:t xml:space="preserve"> </w:t>
      </w:r>
      <w:r>
        <w:t xml:space="preserve">Continue to develop and expand circular economy initiatives, including take-back programs and partnerships for advanced recycling technologies, to maximize material recovery and minimize waste.</w:t>
      </w:r>
    </w:p>
    <w:p>
      <w:pPr>
        <w:pStyle w:val="FirstParagraph"/>
      </w:pPr>
      <w:r>
        <w:t xml:space="preserve">This report serves as a foundational assessment, providing kfxgurtzye with a clear understanding of oipslmtdgn\'s environmental footprint and a roadmap for targeted sustainability improvements.</w:t>
      </w:r>
    </w:p>
    <w:p>
      <w:r>
        <w:pict>
          <v:rect style="width:0;height:1.5pt" o:hralign="center" o:hrstd="t" o:hr="t"/>
        </w:pict>
      </w:r>
    </w:p>
    <w:p>
      <w:pPr>
        <w:pStyle w:val="FirstParagraph"/>
      </w:pPr>
      <w:r>
        <w:t xml:space="preserve">Confidential - Internal Use Only | Page</w:t>
      </w:r>
      <w:r>
        <w:t xml:space="preserve"> </w:t>
      </w:r>
      <w:bookmarkStart w:id="47" w:name="page-num"/>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oipslmtdgn</dc:title>
  <dc:creator/>
  <dc:description>High-detail Product Carbon Footprint (PCF) analysis for oipslmtdgn, a product of kfxgurtzye, adhering to GHG Protocol standards and 2026 updates.</dc:description>
  <dc:language>en</dc:language>
  <cp:keywords/>
  <dcterms:created xsi:type="dcterms:W3CDTF">2026-07-15T07:22:05Z</dcterms:created>
  <dcterms:modified xsi:type="dcterms:W3CDTF">2026-07-15T07:22:05Z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