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ohloznzkfw</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the ohloznzkfw Smart Home Device</w:t>
      </w:r>
    </w:p>
    <w:p>
      <w:pPr>
        <w:pStyle w:val="BodyText"/>
      </w:pPr>
      <w:r>
        <w:rPr>
          <w:bCs/>
          <w:b/>
        </w:rPr>
        <w:t xml:space="preserve">Company Name:</w:t>
      </w:r>
      <w:r>
        <w:t xml:space="preserve"> </w:t>
      </w:r>
      <w:r>
        <w:t xml:space="preserve">rpilndzggt</w:t>
      </w:r>
    </w:p>
    <w:p>
      <w:pPr>
        <w:pStyle w:val="BodyText"/>
      </w:pPr>
      <w:r>
        <w:rPr>
          <w:bCs/>
          <w:b/>
        </w:rPr>
        <w:t xml:space="preserve">Senior Sustainability Consultant:</w:t>
      </w:r>
      <w:r>
        <w:t xml:space="preserve"> </w:t>
      </w:r>
      <w:r>
        <w:t xml:space="preserve">oyexostnps</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efforts have been made to ensure accuracy, the actual footprint may vary based on specific operational details and evolving data.</w:t>
      </w:r>
    </w:p>
    <w:bookmarkEnd w:id="20"/>
    <w:bookmarkStart w:id="43" w:name="X63b7e28092cba7c52548d66b9bc4d9b40c572c2"/>
    <w:p>
      <w:pPr>
        <w:pStyle w:val="Heading1"/>
      </w:pPr>
      <w:r>
        <w:t xml:space="preserve">Product Carbon Footprint (PCF) Analysis Report for ohloznzkfw</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rpilndzggt\'s ohloznzkfw Smart Home Device. Conducted by oyexostnps, Senior Sustainability Consultant, this analysis adheres to the GHG Protocol and incorporates the latest 2026 Land Sector and Removals (LSR) Standard guidelines, alongside a comprehensive Scope 3 assessment (aiming for &gt;95% coverage). The primary objective is to quantify the greenhouse gas emissions across the product\'s lifecycle, identify key emission hotspots, and provide actionable insights for reduction strategies.</w:t>
      </w:r>
    </w:p>
    <w:p>
      <w:r>
        <w:pict>
          <v:rect style="width:0;height:1.5pt" o:hralign="center" o:hrstd="t" o:hr="t"/>
        </w:pict>
      </w:r>
    </w:p>
    <w:bookmarkEnd w:id="21"/>
    <w:bookmarkStart w:id="22" w:name="methodology"/>
    <w:p>
      <w:pPr>
        <w:pStyle w:val="Heading2"/>
      </w:pPr>
      <w:r>
        <w:t xml:space="preserve">1. Methodology</w:t>
      </w:r>
    </w:p>
    <w:p>
      <w:pPr>
        <w:pStyle w:val="FirstParagraph"/>
      </w:pPr>
      <w:r>
        <w:t xml:space="preserve">The Product Carbon Footprint (PCF) analysis for the ohloznzkfw Smart Home Device follows a five-step methodology in accordance with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 for the assessment.</w:t>
      </w:r>
    </w:p>
    <w:p>
      <w:pPr>
        <w:numPr>
          <w:ilvl w:val="0"/>
          <w:numId w:val="1001"/>
        </w:numPr>
        <w:pStyle w:val="Compact"/>
      </w:pPr>
      <w:r>
        <w:rPr>
          <w:bCs/>
          <w:b/>
        </w:rPr>
        <w:t xml:space="preserve">Map Lifecycle (LCI Inventory Stages):</w:t>
      </w:r>
      <w:r>
        <w:t xml:space="preserve"> </w:t>
      </w:r>
      <w:r>
        <w:t xml:space="preserve">Identify all relevant processes and stages within the product\'s lifecycle, from raw material extraction to end-of-life.</w:t>
      </w:r>
    </w:p>
    <w:p>
      <w:pPr>
        <w:numPr>
          <w:ilvl w:val="0"/>
          <w:numId w:val="1001"/>
        </w:numPr>
        <w:pStyle w:val="Compact"/>
      </w:pPr>
      <w:r>
        <w:rPr>
          <w:bCs/>
          <w:b/>
        </w:rPr>
        <w:t xml:space="preserve">Collect Data:</w:t>
      </w:r>
      <w:r>
        <w:t xml:space="preserve"> </w:t>
      </w:r>
      <w:r>
        <w:t xml:space="preserve">Gather primary and secondary activity data and relevant emission factors for each lifecycle stage.</w:t>
      </w:r>
    </w:p>
    <w:p>
      <w:pPr>
        <w:numPr>
          <w:ilvl w:val="0"/>
          <w:numId w:val="1001"/>
        </w:numPr>
        <w:pStyle w:val="Compact"/>
      </w:pPr>
      <w:r>
        <w:rPr>
          <w:bCs/>
          <w:b/>
        </w:rPr>
        <w:t xml:space="preserve">Calculate Emissions:</w:t>
      </w:r>
      <w:r>
        <w:t xml:space="preserve"> </w:t>
      </w:r>
      <w:r>
        <w:t xml:space="preserve">Quantify greenhouse gas emissions (CO2e) by multiplying activity data with corresponding emission factors.</w:t>
      </w:r>
    </w:p>
    <w:p>
      <w:pPr>
        <w:numPr>
          <w:ilvl w:val="0"/>
          <w:numId w:val="1001"/>
        </w:numPr>
        <w:pStyle w:val="Compact"/>
      </w:pPr>
      <w:r>
        <w:rPr>
          <w:bCs/>
          <w:b/>
        </w:rPr>
        <w:t xml:space="preserve">Review &amp; Report:</w:t>
      </w:r>
      <w:r>
        <w:t xml:space="preserve"> </w:t>
      </w:r>
      <w:r>
        <w:t xml:space="preserve">Analyze results, identify hotspots, assess data reliability, and present findings and recommendations.</w:t>
      </w:r>
    </w:p>
    <w:p>
      <w:pPr>
        <w:pStyle w:val="FirstParagraph"/>
      </w:pPr>
      <w:r>
        <w:t xml:space="preserve">This analysis strictly adheres to the GHG Protocol, categorizing emissions into Scope 1 (direct), Scope 2 (purchased energy), and Scope 3 (value chain). Furthermore, it applies the 2026 Land Sector and Removals (LSR) Standard for land use and carbon removals where applicable, and ensures at least 95% coverage for Scope 3 reporting, aligning with 2026 requirements.</w:t>
      </w:r>
    </w:p>
    <w:p>
      <w:r>
        <w:pict>
          <v:rect style="width:0;height:1.5pt" o:hralign="center" o:hrstd="t" o:hr="t"/>
        </w:pict>
      </w:r>
    </w:p>
    <w:bookmarkEnd w:id="22"/>
    <w:bookmarkStart w:id="23" w:name="scope-definition"/>
    <w:p>
      <w:pPr>
        <w:pStyle w:val="Heading2"/>
      </w:pPr>
      <w:r>
        <w:t xml:space="preserve">2. Scope Definition</w:t>
      </w:r>
    </w:p>
    <w:p>
      <w:pPr>
        <w:numPr>
          <w:ilvl w:val="0"/>
          <w:numId w:val="1002"/>
        </w:numPr>
        <w:pStyle w:val="Compact"/>
      </w:pPr>
      <w:r>
        <w:rPr>
          <w:bCs/>
          <w:b/>
        </w:rPr>
        <w:t xml:space="preserve">Functional Unit:</w:t>
      </w:r>
      <w:r>
        <w:t xml:space="preserve"> </w:t>
      </w:r>
      <w:r>
        <w:t xml:space="preserve">1.0 unit of the ohloznzkfw Smart Home Device. This represents the defined service or quantity of the product for which the footprint is calculated.</w:t>
      </w:r>
    </w:p>
    <w:p>
      <w:pPr>
        <w:numPr>
          <w:ilvl w:val="0"/>
          <w:numId w:val="1002"/>
        </w:numPr>
        <w:pStyle w:val="Compact"/>
      </w:pPr>
      <w:r>
        <w:rPr>
          <w:bCs/>
          <w:b/>
        </w:rPr>
        <w:t xml:space="preserve">System Boundary:</w:t>
      </w:r>
      <w:r>
        <w:t xml:space="preserve"> </w:t>
      </w:r>
      <w:r>
        <w:t xml:space="preserve">factory_gate. This "Cradle-to-Gate" boundary includes raw material acquisition, manufacturing, and all processes up to the point the product leaves the factory. For a comprehensive PCF, this report extends beyond the factory gate to include transport, use phase, and end-of-life, effectively applying a "Cradle-to-Grave" approach, aligning with the requirements for full lifecycle analysis.</w:t>
      </w:r>
    </w:p>
    <w:p>
      <w:pPr>
        <w:numPr>
          <w:ilvl w:val="0"/>
          <w:numId w:val="1002"/>
        </w:numPr>
        <w:pStyle w:val="Compact"/>
      </w:pPr>
      <w:r>
        <w:rPr>
          <w:bCs/>
          <w:b/>
        </w:rPr>
        <w:t xml:space="preserve">Geographic Scope:</w:t>
      </w:r>
      <w:r>
        <w:t xml:space="preserve"> </w:t>
      </w:r>
      <w:r>
        <w:t xml:space="preserve">Final Production Country: China, Supply Chain Focus: Europe Focused. This implies that manufacturing occurs in China, and a significant portion of the supply chain and end-markets are located in Europe.</w:t>
      </w:r>
    </w:p>
    <w:p>
      <w:pPr>
        <w:numPr>
          <w:ilvl w:val="0"/>
          <w:numId w:val="1002"/>
        </w:numPr>
        <w:pStyle w:val="Compact"/>
      </w:pPr>
      <w:r>
        <w:rPr>
          <w:bCs/>
          <w:b/>
        </w:rPr>
        <w:t xml:space="preserve">Accounting Standard:</w:t>
      </w:r>
      <w:r>
        <w:t xml:space="preserve"> </w:t>
      </w:r>
      <w:r>
        <w:t xml:space="preserve">GHG Protocol. This provides the foundational framework for emissions quantification and reporting.</w:t>
      </w:r>
    </w:p>
    <w:p>
      <w:pPr>
        <w:numPr>
          <w:ilvl w:val="0"/>
          <w:numId w:val="1002"/>
        </w:numPr>
        <w:pStyle w:val="Compact"/>
      </w:pPr>
      <w:r>
        <w:rPr>
          <w:bCs/>
          <w:b/>
        </w:rPr>
        <w:t xml:space="preserve">Allocation:</w:t>
      </w:r>
      <w:r>
        <w:t xml:space="preserve"> </w:t>
      </w:r>
      <w:r>
        <w:t xml:space="preserve">Where co-production or recycling occurs, allocation methods are applied to assign environmental burdens equitably. For end-of-life, a combination of recycled content method and avoided burden approach is considered for circular economy impacts.</w:t>
      </w:r>
    </w:p>
    <w:p>
      <w:r>
        <w:pict>
          <v:rect style="width:0;height:1.5pt" o:hralign="center" o:hrstd="t" o:hr="t"/>
        </w:pict>
      </w:r>
    </w:p>
    <w:bookmarkEnd w:id="23"/>
    <w:bookmarkStart w:id="29" w:name="lifecycle-inventory-lci-data-collection"/>
    <w:p>
      <w:pPr>
        <w:pStyle w:val="Heading2"/>
      </w:pPr>
      <w:r>
        <w:t xml:space="preserve">3. Lifecycle Inventory (LCI) &amp; Data Collection</w:t>
      </w:r>
    </w:p>
    <w:p>
      <w:pPr>
        <w:pStyle w:val="FirstParagraph"/>
      </w:pPr>
      <w:r>
        <w:t xml:space="preserve">This section details the primary and secondary data collected and the assumptions made for the various lifecycle stages of the ohloznzkfw Smart Home Device.</w:t>
      </w:r>
    </w:p>
    <w:bookmarkStart w:id="24" w:name="X64dc587e452015f9e0911657ac06eb0a67d6b45"/>
    <w:p>
      <w:pPr>
        <w:pStyle w:val="Heading3"/>
      </w:pPr>
      <w:r>
        <w:t xml:space="preserve">3.1. Detailed Bill of Materials (BOM) Analysis (Scope 3 - Upstream)</w:t>
      </w:r>
    </w:p>
    <w:p>
      <w:pPr>
        <w:pStyle w:val="FirstParagraph"/>
      </w:pPr>
      <w:r>
        <w:t xml:space="preserve">The following table provides the detailed Bill of Materials (BOM) used for calculating the material-related emissions. These values are illustrative and represent the format and type of data that would be derived from the placeholder</w:t>
      </w:r>
      <w:r>
        <w:t xml:space="preserve"> </w:t>
      </w:r>
      <w:r>
        <w:rPr>
          <w:rStyle w:val="VerbatimChar"/>
        </w:rPr>
        <w:t xml:space="preserve">wnvjxmog</w:t>
      </w:r>
      <w:r>
        <w:t xml:space="preserve">, interpreted as detailed material specifications. Emission Factors (EFs) are based on industry-average data (e.g., Ecoinvent/DEFRA equivalents).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6.5 kg CO2e/kg</w:t>
            </w:r>
          </w:p>
        </w:tc>
        <w:tc>
          <w:tcPr/>
          <w:p>
            <w:pPr>
              <w:pStyle w:val="Compact"/>
              <w:jc w:val="left"/>
            </w:pPr>
            <w:r>
              <w:t xml:space="preserve">1.95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0.45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1.8 kg CO2e/unit</w:t>
            </w:r>
          </w:p>
        </w:tc>
        <w:tc>
          <w:tcPr/>
          <w:p>
            <w:pPr>
              <w:pStyle w:val="Compact"/>
              <w:jc w:val="left"/>
            </w:pPr>
            <w:r>
              <w:t xml:space="preserve">1.80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2.8 kg CO2e/kg</w:t>
            </w:r>
          </w:p>
        </w:tc>
        <w:tc>
          <w:tcPr/>
          <w:p>
            <w:pPr>
              <w:pStyle w:val="Compact"/>
              <w:jc w:val="left"/>
            </w:pPr>
            <w:r>
              <w:t xml:space="preserve">0.056</w:t>
            </w:r>
          </w:p>
        </w:tc>
      </w:tr>
      <w:tr>
        <w:tc>
          <w:tcPr/>
          <w:p>
            <w:pPr>
              <w:pStyle w:val="Compact"/>
              <w:jc w:val="left"/>
            </w:pPr>
            <w:r>
              <w:t xml:space="preserve">5</w:t>
            </w:r>
          </w:p>
        </w:tc>
        <w:tc>
          <w:tcPr/>
          <w:p>
            <w:pPr>
              <w:pStyle w:val="Compact"/>
              <w:jc w:val="left"/>
            </w:pPr>
            <w:r>
              <w:t xml:space="preserve">Lithium-ion Battery Pack</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16.0 kg CO2e/kg</w:t>
            </w:r>
          </w:p>
        </w:tc>
        <w:tc>
          <w:tcPr/>
          <w:p>
            <w:pPr>
              <w:pStyle w:val="Compact"/>
              <w:jc w:val="left"/>
            </w:pPr>
            <w:r>
              <w:t xml:space="preserve">1.28</w:t>
            </w:r>
          </w:p>
        </w:tc>
      </w:tr>
      <w:tr>
        <w:tc>
          <w:tcPr/>
          <w:p>
            <w:pPr>
              <w:pStyle w:val="Compact"/>
              <w:jc w:val="left"/>
            </w:pPr>
            <w:r>
              <w:t xml:space="preserve">6</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7.0 kg CO2e/kg</w:t>
            </w:r>
          </w:p>
        </w:tc>
        <w:tc>
          <w:tcPr/>
          <w:p>
            <w:pPr>
              <w:pStyle w:val="Compact"/>
              <w:jc w:val="left"/>
            </w:pPr>
            <w:r>
              <w:t xml:space="preserve">0.70</w:t>
            </w:r>
          </w:p>
        </w:tc>
      </w:tr>
      <w:tr>
        <w:tc>
          <w:tcPr>
            <w:gridSpan w:val="7"/>
          </w:tcPr>
          <w:p>
            <w:pPr>
              <w:pStyle w:val="Compact"/>
              <w:jc w:val="right"/>
            </w:pPr>
            <w:r>
              <w:rPr>
                <w:bCs/>
                <w:b/>
              </w:rPr>
              <w:t xml:space="preserve">Subtotal Material Emissions (Scope 3 - Upstream)</w:t>
            </w:r>
          </w:p>
        </w:tc>
        <w:tc>
          <w:tcPr/>
          <w:p>
            <w:pPr>
              <w:pStyle w:val="Compact"/>
              <w:jc w:val="left"/>
            </w:pPr>
            <w:r>
              <w:rPr>
                <w:bCs/>
                <w:b/>
              </w:rPr>
              <w:t xml:space="preserve">6.236 kg CO2e</w:t>
            </w:r>
          </w:p>
        </w:tc>
      </w:tr>
    </w:tbl>
    <w:p>
      <w:pPr>
        <w:pStyle w:val="BodyText"/>
      </w:pPr>
      <w:r>
        <w:rPr>
          <w:iCs/>
          <w:i/>
        </w:rPr>
        <w:t xml:space="preserve">Total product weight for transport calculations (approx.): 0.7 kg (sum of Aluminum Casing, ABS Plastic Housing, Copper Wiring, Lithium-ion Battery Pack, Electronic Components (Misc)).</w:t>
      </w:r>
    </w:p>
    <w:bookmarkEnd w:id="24"/>
    <w:bookmarkStart w:id="25" w:name="energy-inputs-for-production-scope-2"/>
    <w:p>
      <w:pPr>
        <w:pStyle w:val="Heading3"/>
      </w:pPr>
      <w:r>
        <w:t xml:space="preserve">3.2. Energy Inputs for Production (Scope 2)</w:t>
      </w:r>
    </w:p>
    <w:p>
      <w:pPr>
        <w:pStyle w:val="FirstParagraph"/>
      </w:pPr>
      <w:r>
        <w:t xml:space="preserve">For the production phase in China, the following energy data has been considered:</w:t>
      </w:r>
    </w:p>
    <w:p>
      <w:pPr>
        <w:numPr>
          <w:ilvl w:val="0"/>
          <w:numId w:val="1003"/>
        </w:numPr>
        <w:pStyle w:val="Compact"/>
      </w:pPr>
      <w:r>
        <w:rPr>
          <w:bCs/>
          <w:b/>
        </w:rPr>
        <w:t xml:space="preserve">Energy Intensity (kWh/unit):</w:t>
      </w:r>
      <w:r>
        <w:t xml:space="preserve"> </w:t>
      </w:r>
      <w:r>
        <w:t xml:space="preserve">12 kWh/unit (derived from</w:t>
      </w:r>
      <w:r>
        <w:t xml:space="preserve"> </w:t>
      </w:r>
      <w:r>
        <w:rPr>
          <w:rStyle w:val="VerbatimChar"/>
        </w:rPr>
        <w:t xml:space="preserve">umqlyvouvj</w:t>
      </w:r>
      <w:r>
        <w:t xml:space="preserve">).</w:t>
      </w:r>
    </w:p>
    <w:p>
      <w:pPr>
        <w:numPr>
          <w:ilvl w:val="0"/>
          <w:numId w:val="1003"/>
        </w:numPr>
        <w:pStyle w:val="Compact"/>
      </w:pPr>
      <w:r>
        <w:rPr>
          <w:bCs/>
          <w:b/>
        </w:rPr>
        <w:t xml:space="preserve">Renewable Energy Usage:</w:t>
      </w:r>
      <w:r>
        <w:t xml:space="preserve"> </w:t>
      </w:r>
      <w:r>
        <w:t xml:space="preserve">40% (derived from</w:t>
      </w:r>
      <w:r>
        <w:t xml:space="preserve"> </w:t>
      </w:r>
      <w:r>
        <w:rPr>
          <w:rStyle w:val="VerbatimChar"/>
        </w:rPr>
        <w:t xml:space="preserve">gttvihpgzf</w:t>
      </w:r>
      <w:r>
        <w:t xml:space="preserve">).</w:t>
      </w:r>
    </w:p>
    <w:p>
      <w:pPr>
        <w:pStyle w:val="FirstParagraph"/>
      </w:pPr>
      <w:r>
        <w:t xml:space="preserve">The remaining 60% of electricity is assumed to come from the regional grid. An average emission factor for the Chinese electricity grid is approximately 0.6 kg CO2e/kWh.</w:t>
      </w:r>
    </w:p>
    <w:bookmarkEnd w:id="25"/>
    <w:bookmarkStart w:id="26" w:name="X868c37c7a6a42bd7152ce7cd46aff1eec36c0bd"/>
    <w:p>
      <w:pPr>
        <w:pStyle w:val="Heading3"/>
      </w:pPr>
      <w:r>
        <w:t xml:space="preserve">3.3. Logistics Data (Scope 3 - Upstream &amp; Downstream)</w:t>
      </w:r>
    </w:p>
    <w:p>
      <w:pPr>
        <w:pStyle w:val="FirstParagraph"/>
      </w:pPr>
      <w:r>
        <w:t xml:space="preserve">Transportation plays a significant role in the supply chain. The following parameters are used:</w:t>
      </w:r>
    </w:p>
    <w:p>
      <w:pPr>
        <w:numPr>
          <w:ilvl w:val="0"/>
          <w:numId w:val="1004"/>
        </w:numPr>
        <w:pStyle w:val="Compact"/>
      </w:pPr>
      <w:r>
        <w:rPr>
          <w:bCs/>
          <w:b/>
        </w:rPr>
        <w:t xml:space="preserve">Primary Transport Mode (China to Europe):</w:t>
      </w:r>
      <w:r>
        <w:t xml:space="preserve"> </w:t>
      </w:r>
      <w:r>
        <w:t xml:space="preserve">Ocean Freight (Container Ship), chosen as</w:t>
      </w:r>
      <w:r>
        <w:t xml:space="preserve"> </w:t>
      </w:r>
      <w:r>
        <w:rPr>
          <w:rStyle w:val="VerbatimChar"/>
        </w:rPr>
        <w:t xml:space="preserve">Select Mode</w:t>
      </w:r>
      <w:r>
        <w:t xml:space="preserve">.</w:t>
      </w:r>
    </w:p>
    <w:p>
      <w:pPr>
        <w:numPr>
          <w:ilvl w:val="0"/>
          <w:numId w:val="1004"/>
        </w:numPr>
        <w:pStyle w:val="Compact"/>
      </w:pPr>
      <w:r>
        <w:rPr>
          <w:bCs/>
          <w:b/>
        </w:rPr>
        <w:t xml:space="preserve">Primary Transport Distance:</w:t>
      </w:r>
      <w:r>
        <w:t xml:space="preserve"> </w:t>
      </w:r>
      <w:r>
        <w:t xml:space="preserve">18,000 km (derived from</w:t>
      </w:r>
      <w:r>
        <w:t xml:space="preserve"> </w:t>
      </w:r>
      <w:r>
        <w:rPr>
          <w:rStyle w:val="VerbatimChar"/>
        </w:rPr>
        <w:t xml:space="preserve">ltlhxkjmyw</w:t>
      </w:r>
      <w:r>
        <w:t xml:space="preserve">, typical distance for China-Europe sea route).</w:t>
      </w:r>
    </w:p>
    <w:p>
      <w:pPr>
        <w:numPr>
          <w:ilvl w:val="0"/>
          <w:numId w:val="1004"/>
        </w:numPr>
        <w:pStyle w:val="Compact"/>
      </w:pPr>
      <w:r>
        <w:rPr>
          <w:bCs/>
          <w:b/>
        </w:rPr>
        <w:t xml:space="preserve">Last-Mile Delivery Channel (Europe):</w:t>
      </w:r>
      <w:r>
        <w:t xml:space="preserve"> </w:t>
      </w:r>
      <w:r>
        <w:t xml:space="preserve">Direct-to-consumer van delivery (chosen as</w:t>
      </w:r>
      <w:r>
        <w:t xml:space="preserve"> </w:t>
      </w:r>
      <w:r>
        <w:rPr>
          <w:rStyle w:val="VerbatimChar"/>
        </w:rPr>
        <w:t xml:space="preserve">Delivery Type</w:t>
      </w:r>
      <w:r>
        <w:t xml:space="preserve">).</w:t>
      </w:r>
    </w:p>
    <w:p>
      <w:pPr>
        <w:numPr>
          <w:ilvl w:val="0"/>
          <w:numId w:val="1004"/>
        </w:numPr>
        <w:pStyle w:val="Compact"/>
      </w:pPr>
      <w:r>
        <w:rPr>
          <w:bCs/>
          <w:b/>
        </w:rPr>
        <w:t xml:space="preserve">Last-Mile Delivery Distance:</w:t>
      </w:r>
      <w:r>
        <w:t xml:space="preserve"> </w:t>
      </w:r>
      <w:r>
        <w:t xml:space="preserve">500 km (illustrative average for European last-mile distribution).</w:t>
      </w:r>
    </w:p>
    <w:p>
      <w:pPr>
        <w:pStyle w:val="FirstParagraph"/>
      </w:pPr>
      <w:r>
        <w:t xml:space="preserve">Emission Factors for transport are based on industry averages (e.g., DEFRA 2023):</w:t>
      </w:r>
    </w:p>
    <w:p>
      <w:pPr>
        <w:numPr>
          <w:ilvl w:val="0"/>
          <w:numId w:val="1005"/>
        </w:numPr>
        <w:pStyle w:val="Compact"/>
      </w:pPr>
      <w:r>
        <w:t xml:space="preserve">Ocean Freight (Container Ship, deep sea): 0.00847 kg CO2e/tonne-km.</w:t>
      </w:r>
    </w:p>
    <w:p>
      <w:pPr>
        <w:numPr>
          <w:ilvl w:val="0"/>
          <w:numId w:val="1005"/>
        </w:numPr>
        <w:pStyle w:val="Compact"/>
      </w:pPr>
      <w:r>
        <w:t xml:space="preserve">Road Freight (Light Commercial Vehicle, average laden): 0.30138 kg CO2e/tonne-km.</w:t>
      </w:r>
    </w:p>
    <w:bookmarkEnd w:id="26"/>
    <w:bookmarkStart w:id="27" w:name="use-phase-data-scope-3---downstream"/>
    <w:p>
      <w:pPr>
        <w:pStyle w:val="Heading3"/>
      </w:pPr>
      <w:r>
        <w:t xml:space="preserve">3.4. Use Phase Data (Scope 3 - Downstream)</w:t>
      </w:r>
    </w:p>
    <w:p>
      <w:pPr>
        <w:pStyle w:val="FirstParagraph"/>
      </w:pPr>
      <w:r>
        <w:t xml:space="preserve">The usage of the product contributes to its overall footprint:</w:t>
      </w:r>
    </w:p>
    <w:p>
      <w:pPr>
        <w:numPr>
          <w:ilvl w:val="0"/>
          <w:numId w:val="1006"/>
        </w:numPr>
        <w:pStyle w:val="Compact"/>
      </w:pPr>
      <w:r>
        <w:rPr>
          <w:bCs/>
          <w:b/>
        </w:rPr>
        <w:t xml:space="preserve">Product Lifespan:</w:t>
      </w:r>
      <w:r>
        <w:t xml:space="preserve"> </w:t>
      </w:r>
      <w:r>
        <w:t xml:space="preserve">3 years (derived from</w:t>
      </w:r>
      <w:r>
        <w:t xml:space="preserve"> </w:t>
      </w:r>
      <w:r>
        <w:rPr>
          <w:rStyle w:val="VerbatimChar"/>
        </w:rPr>
        <w:t xml:space="preserve">fwzhwklouw</w:t>
      </w:r>
      <w:r>
        <w:t xml:space="preserve">).</w:t>
      </w:r>
    </w:p>
    <w:p>
      <w:pPr>
        <w:numPr>
          <w:ilvl w:val="0"/>
          <w:numId w:val="1006"/>
        </w:numPr>
        <w:pStyle w:val="Compact"/>
      </w:pPr>
      <w:r>
        <w:rPr>
          <w:bCs/>
          <w:b/>
        </w:rPr>
        <w:t xml:space="preserve">Energy Consumption in Use:</w:t>
      </w:r>
      <w:r>
        <w:t xml:space="preserve"> </w:t>
      </w:r>
      <w:r>
        <w:t xml:space="preserve">7 kWh/year (derived from</w:t>
      </w:r>
      <w:r>
        <w:t xml:space="preserve"> </w:t>
      </w:r>
      <w:r>
        <w:rPr>
          <w:rStyle w:val="VerbatimChar"/>
        </w:rPr>
        <w:t xml:space="preserve">rlfhpyhhsk</w:t>
      </w:r>
      <w:r>
        <w:t xml:space="preserve">).</w:t>
      </w:r>
    </w:p>
    <w:p>
      <w:pPr>
        <w:pStyle w:val="FirstParagraph"/>
      </w:pPr>
      <w:r>
        <w:t xml:space="preserve">Electricity consumption during the use phase is assumed to occur in Europe, with an average grid emission factor of 0.25 kg CO2e/kWh.</w:t>
      </w:r>
    </w:p>
    <w:bookmarkEnd w:id="27"/>
    <w:bookmarkStart w:id="28" w:name="X2449e76f36fce2c9fec3c701a472f020b80894d"/>
    <w:p>
      <w:pPr>
        <w:pStyle w:val="Heading3"/>
      </w:pPr>
      <w:r>
        <w:t xml:space="preserve">3.5. End-of-Life (EoL) Scenarios (Scope 3 - Downstream)</w:t>
      </w:r>
    </w:p>
    <w:p>
      <w:pPr>
        <w:pStyle w:val="FirstParagraph"/>
      </w:pPr>
      <w:r>
        <w:t xml:space="preserve">Circular economy impacts are incorporated:</w:t>
      </w:r>
    </w:p>
    <w:p>
      <w:pPr>
        <w:numPr>
          <w:ilvl w:val="0"/>
          <w:numId w:val="1007"/>
        </w:numPr>
        <w:pStyle w:val="Compact"/>
      </w:pPr>
      <w:r>
        <w:rPr>
          <w:bCs/>
          <w:b/>
        </w:rPr>
        <w:t xml:space="preserve">Recyclability Percentage:</w:t>
      </w:r>
      <w:r>
        <w:t xml:space="preserve"> </w:t>
      </w:r>
      <w:r>
        <w:t xml:space="preserve">65% (derived from</w:t>
      </w:r>
      <w:r>
        <w:t xml:space="preserve"> </w:t>
      </w:r>
      <w:r>
        <w:rPr>
          <w:rStyle w:val="VerbatimChar"/>
        </w:rPr>
        <w:t xml:space="preserve">tfsoxpiwrl</w:t>
      </w:r>
      <w:r>
        <w:t xml:space="preserve">).</w:t>
      </w:r>
    </w:p>
    <w:p>
      <w:pPr>
        <w:numPr>
          <w:ilvl w:val="0"/>
          <w:numId w:val="1007"/>
        </w:numPr>
        <w:pStyle w:val="Compact"/>
      </w:pPr>
      <w:r>
        <w:rPr>
          <w:bCs/>
          <w:b/>
        </w:rPr>
        <w:t xml:space="preserve">Circular/Take-back Programs:</w:t>
      </w:r>
      <w:r>
        <w:t xml:space="preserve"> </w:t>
      </w:r>
      <w:r>
        <w:t xml:space="preserve">Yes, an active take-back program exists (derived from</w:t>
      </w:r>
      <w:r>
        <w:t xml:space="preserve"> </w:t>
      </w:r>
      <w:r>
        <w:rPr>
          <w:rStyle w:val="VerbatimChar"/>
        </w:rPr>
        <w:t xml:space="preserve">dgniggjpvs</w:t>
      </w:r>
      <w:r>
        <w:t xml:space="preserve">), facilitating collection and recycling.</w:t>
      </w:r>
    </w:p>
    <w:p>
      <w:pPr>
        <w:pStyle w:val="FirstParagraph"/>
      </w:pPr>
      <w:r>
        <w:t xml:space="preserve">For the non-recycled portion, a generic landfill emission factor of 0.5 kg CO2e/kg of waste is assumed. For the recycled portion, the take-back program and high recyclability are assumed to significantly reduce the net EoL impact through material recovery and avoided virgin material production.</w:t>
      </w:r>
    </w:p>
    <w:p>
      <w:r>
        <w:pict>
          <v:rect style="width:0;height:1.5pt" o:hralign="center" o:hrstd="t" o:hr="t"/>
        </w:pict>
      </w:r>
    </w:p>
    <w:bookmarkEnd w:id="28"/>
    <w:bookmarkEnd w:id="29"/>
    <w:bookmarkStart w:id="38" w:name="emission-calculation"/>
    <w:p>
      <w:pPr>
        <w:pStyle w:val="Heading2"/>
      </w:pPr>
      <w:r>
        <w:t xml:space="preserve">4. Emission Calculation</w:t>
      </w:r>
    </w:p>
    <w:p>
      <w:pPr>
        <w:pStyle w:val="FirstParagraph"/>
      </w:pPr>
      <w:r>
        <w:t xml:space="preserve">Emissions are calculated for each lifecycle stage and categorized according to the GHG Protocol.</w:t>
      </w:r>
    </w:p>
    <w:bookmarkStart w:id="30" w:name="Xddcd7033ca00ff78feb6c931d2540a768c903d3"/>
    <w:p>
      <w:pPr>
        <w:pStyle w:val="Heading3"/>
      </w:pPr>
      <w:r>
        <w:t xml:space="preserve">4.1. Scope 3 - Upstream Emissions (Materials &amp; Manufacturing)</w:t>
      </w:r>
    </w:p>
    <w:p>
      <w:pPr>
        <w:pStyle w:val="FirstParagraph"/>
      </w:pPr>
      <w:r>
        <w:t xml:space="preserve">Based on the Detailed Bill of Materials (BOM) analysis:</w:t>
      </w:r>
    </w:p>
    <w:p>
      <w:pPr>
        <w:numPr>
          <w:ilvl w:val="0"/>
          <w:numId w:val="1008"/>
        </w:numPr>
        <w:pStyle w:val="Compact"/>
      </w:pPr>
      <w:r>
        <w:t xml:space="preserve">Total Material Emissions:</w:t>
      </w:r>
      <w:r>
        <w:t xml:space="preserve"> </w:t>
      </w:r>
      <w:r>
        <w:rPr>
          <w:bCs/>
          <w:b/>
        </w:rPr>
        <w:t xml:space="preserve">6.236 kg CO2e</w:t>
      </w:r>
    </w:p>
    <w:bookmarkEnd w:id="30"/>
    <w:bookmarkStart w:id="31" w:name="scope-2---production-energy-emissions"/>
    <w:p>
      <w:pPr>
        <w:pStyle w:val="Heading3"/>
      </w:pPr>
      <w:r>
        <w:t xml:space="preserve">4.2. Scope 2 - Production Energy Emissions</w:t>
      </w:r>
    </w:p>
    <w:p>
      <w:pPr>
        <w:numPr>
          <w:ilvl w:val="0"/>
          <w:numId w:val="1009"/>
        </w:numPr>
        <w:pStyle w:val="Compact"/>
      </w:pPr>
      <w:r>
        <w:t xml:space="preserve">Total Energy Intensity: 12 kWh/unit</w:t>
      </w:r>
    </w:p>
    <w:p>
      <w:pPr>
        <w:numPr>
          <w:ilvl w:val="0"/>
          <w:numId w:val="1009"/>
        </w:numPr>
        <w:pStyle w:val="Compact"/>
      </w:pPr>
      <w:r>
        <w:t xml:space="preserve">Renewable Energy Usage: 40% (0.4 * 12 kWh = 4.8 kWh, 0 kg CO2e)</w:t>
      </w:r>
    </w:p>
    <w:p>
      <w:pPr>
        <w:numPr>
          <w:ilvl w:val="0"/>
          <w:numId w:val="1009"/>
        </w:numPr>
        <w:pStyle w:val="Compact"/>
      </w:pPr>
      <w:r>
        <w:t xml:space="preserve">Non-renewable Energy Usage: 60% (0.6 * 12 kWh = 7.2 kWh)</w:t>
      </w:r>
    </w:p>
    <w:p>
      <w:pPr>
        <w:numPr>
          <w:ilvl w:val="0"/>
          <w:numId w:val="1009"/>
        </w:numPr>
        <w:pStyle w:val="Compact"/>
      </w:pPr>
      <w:r>
        <w:t xml:space="preserve">Emission Factor (China Grid): 0.6 kg CO2e/kWh</w:t>
      </w:r>
    </w:p>
    <w:p>
      <w:pPr>
        <w:numPr>
          <w:ilvl w:val="0"/>
          <w:numId w:val="1009"/>
        </w:numPr>
        <w:pStyle w:val="Compact"/>
      </w:pPr>
      <w:r>
        <w:rPr>
          <w:bCs/>
          <w:b/>
        </w:rPr>
        <w:t xml:space="preserve">Production Energy Emissions:</w:t>
      </w:r>
      <w:r>
        <w:t xml:space="preserve"> </w:t>
      </w:r>
      <w:r>
        <w:t xml:space="preserve">7.2 kWh/unit * 0.6 kg CO2e/kWh =</w:t>
      </w:r>
      <w:r>
        <w:t xml:space="preserve"> </w:t>
      </w:r>
      <w:r>
        <w:rPr>
          <w:bCs/>
          <w:b/>
        </w:rPr>
        <w:t xml:space="preserve">4.32 kg CO2e</w:t>
      </w:r>
    </w:p>
    <w:bookmarkEnd w:id="31"/>
    <w:bookmarkStart w:id="32" w:name="X2c84d650a49b5e7e4965b6fb50b1339ddccd209"/>
    <w:p>
      <w:pPr>
        <w:pStyle w:val="Heading3"/>
      </w:pPr>
      <w:r>
        <w:t xml:space="preserve">4.3. Scope 3 - Upstream &amp; Downstream Emissions (Transportation)</w:t>
      </w:r>
    </w:p>
    <w:p>
      <w:pPr>
        <w:pStyle w:val="FirstParagraph"/>
      </w:pPr>
      <w:r>
        <w:t xml:space="preserve">Product weight for transport: 0.7 kg = 0.0007 tonnes.</w:t>
      </w:r>
    </w:p>
    <w:p>
      <w:pPr>
        <w:numPr>
          <w:ilvl w:val="0"/>
          <w:numId w:val="1010"/>
        </w:numPr>
        <w:pStyle w:val="Compact"/>
      </w:pPr>
      <w:r>
        <w:rPr>
          <w:bCs/>
          <w:b/>
        </w:rPr>
        <w:t xml:space="preserve">Primary Transport (Ocean Freight):</w:t>
      </w:r>
    </w:p>
    <w:p>
      <w:pPr>
        <w:numPr>
          <w:ilvl w:val="1"/>
          <w:numId w:val="1011"/>
        </w:numPr>
        <w:pStyle w:val="Compact"/>
      </w:pPr>
      <w:r>
        <w:t xml:space="preserve">Distance: 18,000 km</w:t>
      </w:r>
    </w:p>
    <w:p>
      <w:pPr>
        <w:numPr>
          <w:ilvl w:val="1"/>
          <w:numId w:val="1011"/>
        </w:numPr>
        <w:pStyle w:val="Compact"/>
      </w:pPr>
      <w:r>
        <w:t xml:space="preserve">EF: 0.00847 kg CO2e/tonne-km</w:t>
      </w:r>
    </w:p>
    <w:p>
      <w:pPr>
        <w:numPr>
          <w:ilvl w:val="1"/>
          <w:numId w:val="1011"/>
        </w:numPr>
        <w:pStyle w:val="Compact"/>
      </w:pPr>
      <w:r>
        <w:t xml:space="preserve">Emissions: 0.00847 kg CO2e/tonne-km * 0.0007 tonnes * 18,000 km =</w:t>
      </w:r>
      <w:r>
        <w:t xml:space="preserve"> </w:t>
      </w:r>
      <w:r>
        <w:rPr>
          <w:bCs/>
          <w:b/>
        </w:rPr>
        <w:t xml:space="preserve">0.1067 kg CO2e</w:t>
      </w:r>
    </w:p>
    <w:p>
      <w:pPr>
        <w:numPr>
          <w:ilvl w:val="0"/>
          <w:numId w:val="1010"/>
        </w:numPr>
        <w:pStyle w:val="Compact"/>
      </w:pPr>
      <w:r>
        <w:rPr>
          <w:bCs/>
          <w:b/>
        </w:rPr>
        <w:t xml:space="preserve">Last-Mile Delivery (Road Freight - LCV):</w:t>
      </w:r>
    </w:p>
    <w:p>
      <w:pPr>
        <w:numPr>
          <w:ilvl w:val="1"/>
          <w:numId w:val="1012"/>
        </w:numPr>
        <w:pStyle w:val="Compact"/>
      </w:pPr>
      <w:r>
        <w:t xml:space="preserve">Distance: 500 km</w:t>
      </w:r>
    </w:p>
    <w:p>
      <w:pPr>
        <w:numPr>
          <w:ilvl w:val="1"/>
          <w:numId w:val="1012"/>
        </w:numPr>
        <w:pStyle w:val="Compact"/>
      </w:pPr>
      <w:r>
        <w:t xml:space="preserve">EF: 0.30138 kg CO2e/tonne-km</w:t>
      </w:r>
    </w:p>
    <w:p>
      <w:pPr>
        <w:numPr>
          <w:ilvl w:val="1"/>
          <w:numId w:val="1012"/>
        </w:numPr>
        <w:pStyle w:val="Compact"/>
      </w:pPr>
      <w:r>
        <w:t xml:space="preserve">Emissions: 0.30138 kg CO2e/tonne-km * 0.0007 tonnes * 500 km =</w:t>
      </w:r>
      <w:r>
        <w:t xml:space="preserve"> </w:t>
      </w:r>
      <w:r>
        <w:rPr>
          <w:bCs/>
          <w:b/>
        </w:rPr>
        <w:t xml:space="preserve">0.1055 kg CO2e</w:t>
      </w:r>
    </w:p>
    <w:p>
      <w:pPr>
        <w:numPr>
          <w:ilvl w:val="0"/>
          <w:numId w:val="1010"/>
        </w:numPr>
        <w:pStyle w:val="Compact"/>
      </w:pPr>
      <w:r>
        <w:rPr>
          <w:bCs/>
          <w:b/>
        </w:rPr>
        <w:t xml:space="preserve">Total Transport Emissions:</w:t>
      </w:r>
      <w:r>
        <w:t xml:space="preserve"> </w:t>
      </w:r>
      <w:r>
        <w:t xml:space="preserve">0.1067 + 0.1055 =</w:t>
      </w:r>
      <w:r>
        <w:t xml:space="preserve"> </w:t>
      </w:r>
      <w:r>
        <w:rPr>
          <w:bCs/>
          <w:b/>
        </w:rPr>
        <w:t xml:space="preserve">0.2122 kg CO2e</w:t>
      </w:r>
    </w:p>
    <w:bookmarkEnd w:id="32"/>
    <w:bookmarkStart w:id="33" w:name="scope-3---downstream-emissions-use-phase"/>
    <w:p>
      <w:pPr>
        <w:pStyle w:val="Heading3"/>
      </w:pPr>
      <w:r>
        <w:t xml:space="preserve">4.4. Scope 3 - Downstream Emissions (Use Phase)</w:t>
      </w:r>
    </w:p>
    <w:p>
      <w:pPr>
        <w:numPr>
          <w:ilvl w:val="0"/>
          <w:numId w:val="1013"/>
        </w:numPr>
        <w:pStyle w:val="Compact"/>
      </w:pPr>
      <w:r>
        <w:t xml:space="preserve">Lifespan: 3 years</w:t>
      </w:r>
    </w:p>
    <w:p>
      <w:pPr>
        <w:numPr>
          <w:ilvl w:val="0"/>
          <w:numId w:val="1013"/>
        </w:numPr>
        <w:pStyle w:val="Compact"/>
      </w:pPr>
      <w:r>
        <w:t xml:space="preserve">Annual Consumption: 7 kWh/year</w:t>
      </w:r>
    </w:p>
    <w:p>
      <w:pPr>
        <w:numPr>
          <w:ilvl w:val="0"/>
          <w:numId w:val="1013"/>
        </w:numPr>
        <w:pStyle w:val="Compact"/>
      </w:pPr>
      <w:r>
        <w:t xml:space="preserve">Total Consumption: 3 years * 7 kWh/year = 21 kWh</w:t>
      </w:r>
    </w:p>
    <w:p>
      <w:pPr>
        <w:numPr>
          <w:ilvl w:val="0"/>
          <w:numId w:val="1013"/>
        </w:numPr>
        <w:pStyle w:val="Compact"/>
      </w:pPr>
      <w:r>
        <w:t xml:space="preserve">EF (Europe Grid): 0.25 kg CO2e/kWh</w:t>
      </w:r>
    </w:p>
    <w:p>
      <w:pPr>
        <w:numPr>
          <w:ilvl w:val="0"/>
          <w:numId w:val="1013"/>
        </w:numPr>
        <w:pStyle w:val="Compact"/>
      </w:pPr>
      <w:r>
        <w:rPr>
          <w:bCs/>
          <w:b/>
        </w:rPr>
        <w:t xml:space="preserve">Use Phase Emissions:</w:t>
      </w:r>
      <w:r>
        <w:t xml:space="preserve"> </w:t>
      </w:r>
      <w:r>
        <w:t xml:space="preserve">21 kWh * 0.25 kg CO2e/kWh =</w:t>
      </w:r>
      <w:r>
        <w:t xml:space="preserve"> </w:t>
      </w:r>
      <w:r>
        <w:rPr>
          <w:bCs/>
          <w:b/>
        </w:rPr>
        <w:t xml:space="preserve">5.25 kg CO2e</w:t>
      </w:r>
    </w:p>
    <w:bookmarkEnd w:id="33"/>
    <w:bookmarkStart w:id="34" w:name="Xb832030a6847725db94d8e773c6a090c074d688"/>
    <w:p>
      <w:pPr>
        <w:pStyle w:val="Heading3"/>
      </w:pPr>
      <w:r>
        <w:t xml:space="preserve">4.5. Scope 3 - Downstream Emissions (End-of-Life)</w:t>
      </w:r>
    </w:p>
    <w:p>
      <w:pPr>
        <w:numPr>
          <w:ilvl w:val="0"/>
          <w:numId w:val="1014"/>
        </w:numPr>
        <w:pStyle w:val="Compact"/>
      </w:pPr>
      <w:r>
        <w:t xml:space="preserve">Total Product Weight: 0.7 kg</w:t>
      </w:r>
    </w:p>
    <w:p>
      <w:pPr>
        <w:numPr>
          <w:ilvl w:val="0"/>
          <w:numId w:val="1014"/>
        </w:numPr>
        <w:pStyle w:val="Compact"/>
      </w:pPr>
      <w:r>
        <w:t xml:space="preserve">Recyclability: 65%</w:t>
      </w:r>
    </w:p>
    <w:p>
      <w:pPr>
        <w:numPr>
          <w:ilvl w:val="0"/>
          <w:numId w:val="1014"/>
        </w:numPr>
        <w:pStyle w:val="Compact"/>
      </w:pPr>
      <w:r>
        <w:t xml:space="preserve">Weight Recycled: 0.7 kg * 0.65 = 0.455 kg</w:t>
      </w:r>
    </w:p>
    <w:p>
      <w:pPr>
        <w:numPr>
          <w:ilvl w:val="0"/>
          <w:numId w:val="1014"/>
        </w:numPr>
        <w:pStyle w:val="Compact"/>
      </w:pPr>
      <w:r>
        <w:t xml:space="preserve">Weight Disposed (Landfill): 0.7 kg * (1 - 0.65) = 0.245 kg</w:t>
      </w:r>
    </w:p>
    <w:p>
      <w:pPr>
        <w:numPr>
          <w:ilvl w:val="0"/>
          <w:numId w:val="1014"/>
        </w:numPr>
        <w:pStyle w:val="Compact"/>
      </w:pPr>
      <w:r>
        <w:t xml:space="preserve">Landfill EF: 0.5 kg CO2e/kg</w:t>
      </w:r>
    </w:p>
    <w:p>
      <w:pPr>
        <w:numPr>
          <w:ilvl w:val="0"/>
          <w:numId w:val="1014"/>
        </w:numPr>
        <w:pStyle w:val="Compact"/>
      </w:pPr>
      <w:r>
        <w:t xml:space="preserve">Emissions from Landfill: 0.245 kg * 0.5 kg CO2e/kg = 0.1225 kg CO2e</w:t>
      </w:r>
    </w:p>
    <w:p>
      <w:pPr>
        <w:numPr>
          <w:ilvl w:val="0"/>
          <w:numId w:val="1014"/>
        </w:numPr>
        <w:pStyle w:val="Compact"/>
      </w:pPr>
      <w:r>
        <w:t xml:space="preserve">Due to the active take-back programs and high recyclability, the avoided emissions from recycling are assumed to largely offset the impacts, resulting in a significantly lower net EoL footprint. For this report, we account for the emissions from the non-recycled portion.</w:t>
      </w:r>
    </w:p>
    <w:p>
      <w:pPr>
        <w:numPr>
          <w:ilvl w:val="0"/>
          <w:numId w:val="1014"/>
        </w:numPr>
        <w:pStyle w:val="Compact"/>
      </w:pPr>
      <w:r>
        <w:rPr>
          <w:bCs/>
          <w:b/>
        </w:rPr>
        <w:t xml:space="preserve">End-of-Life Emissions:</w:t>
      </w:r>
      <w:r>
        <w:t xml:space="preserve"> </w:t>
      </w:r>
      <w:r>
        <w:rPr>
          <w:bCs/>
          <w:b/>
        </w:rPr>
        <w:t xml:space="preserve">0.1225 kg CO2e</w:t>
      </w:r>
    </w:p>
    <w:bookmarkEnd w:id="34"/>
    <w:bookmarkStart w:id="35" w:name="X32467661f1b22d74c703ec57156f8d66f2dccc1"/>
    <w:p>
      <w:pPr>
        <w:pStyle w:val="Heading3"/>
      </w:pPr>
      <w:r>
        <w:t xml:space="preserve">4.6. Application of 2026 LSR Update (Land Sector and Removals)</w:t>
      </w:r>
    </w:p>
    <w:p>
      <w:pPr>
        <w:pStyle w:val="FirstParagraph"/>
      </w:pPr>
      <w:r>
        <w:t xml:space="preserve">While no specific land use change or direct carbon removal data has been provided for ohloznzkfw, the 2026 LSR Standard requires consideration of these factors. If the product\'s raw materials originated from land with recent land-use change, or if the product itself sequestered carbon, these would be quantified and reported. In the absence of such specific data, this analysis assumes a negligible direct impact related to land use change or carbon removals for this particular product, acknowledging that these factors would be fully integrated if relevant data became available.</w:t>
      </w:r>
    </w:p>
    <w:bookmarkEnd w:id="35"/>
    <w:bookmarkStart w:id="36" w:name="X0c1fe8d0ca3c4cb154270a2d6a3eeaf772f68ee"/>
    <w:p>
      <w:pPr>
        <w:pStyle w:val="Heading3"/>
      </w:pPr>
      <w:r>
        <w:t xml:space="preserve">4.7. Total Product Carbon Footprint (PCF)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 per unit)</w:t>
            </w:r>
          </w:p>
        </w:tc>
        <w:tc>
          <w:tcPr/>
          <w:p>
            <w:pPr>
              <w:pStyle w:val="Compact"/>
              <w:jc w:val="left"/>
            </w:pPr>
            <w:r>
              <w:t xml:space="preserve">GHG Scope</w:t>
            </w:r>
          </w:p>
        </w:tc>
      </w:tr>
      <w:tr>
        <w:tc>
          <w:tcPr/>
          <w:p>
            <w:pPr>
              <w:pStyle w:val="Compact"/>
              <w:jc w:val="left"/>
            </w:pPr>
            <w:r>
              <w:t xml:space="preserve">Materials &amp; Manufacturing</w:t>
            </w:r>
          </w:p>
        </w:tc>
        <w:tc>
          <w:tcPr/>
          <w:p>
            <w:pPr>
              <w:pStyle w:val="Compact"/>
              <w:jc w:val="left"/>
            </w:pPr>
            <w:r>
              <w:t xml:space="preserve">6.236</w:t>
            </w:r>
          </w:p>
        </w:tc>
        <w:tc>
          <w:tcPr/>
          <w:p>
            <w:pPr>
              <w:pStyle w:val="Compact"/>
              <w:jc w:val="left"/>
            </w:pPr>
            <w:r>
              <w:t xml:space="preserve">Scope 3 (Upstream)</w:t>
            </w:r>
          </w:p>
        </w:tc>
      </w:tr>
      <w:tr>
        <w:tc>
          <w:tcPr/>
          <w:p>
            <w:pPr>
              <w:pStyle w:val="Compact"/>
              <w:jc w:val="left"/>
            </w:pPr>
            <w:r>
              <w:t xml:space="preserve">Production Energy</w:t>
            </w:r>
          </w:p>
        </w:tc>
        <w:tc>
          <w:tcPr/>
          <w:p>
            <w:pPr>
              <w:pStyle w:val="Compact"/>
              <w:jc w:val="left"/>
            </w:pPr>
            <w:r>
              <w:t xml:space="preserve">4.320</w:t>
            </w:r>
          </w:p>
        </w:tc>
        <w:tc>
          <w:tcPr/>
          <w:p>
            <w:pPr>
              <w:pStyle w:val="Compact"/>
              <w:jc w:val="left"/>
            </w:pPr>
            <w:r>
              <w:t xml:space="preserve">Scope 2</w:t>
            </w:r>
          </w:p>
        </w:tc>
      </w:tr>
      <w:tr>
        <w:tc>
          <w:tcPr/>
          <w:p>
            <w:pPr>
              <w:pStyle w:val="Compact"/>
              <w:jc w:val="left"/>
            </w:pPr>
            <w:r>
              <w:t xml:space="preserve">Transportation (Primary)</w:t>
            </w:r>
          </w:p>
        </w:tc>
        <w:tc>
          <w:tcPr/>
          <w:p>
            <w:pPr>
              <w:pStyle w:val="Compact"/>
              <w:jc w:val="left"/>
            </w:pPr>
            <w:r>
              <w:t xml:space="preserve">0.1067</w:t>
            </w:r>
          </w:p>
        </w:tc>
        <w:tc>
          <w:tcPr/>
          <w:p>
            <w:pPr>
              <w:pStyle w:val="Compact"/>
              <w:jc w:val="left"/>
            </w:pPr>
            <w:r>
              <w:t xml:space="preserve">Scope 3 (Upstream)</w:t>
            </w:r>
          </w:p>
        </w:tc>
      </w:tr>
      <w:tr>
        <w:tc>
          <w:tcPr/>
          <w:p>
            <w:pPr>
              <w:pStyle w:val="Compact"/>
              <w:jc w:val="left"/>
            </w:pPr>
            <w:r>
              <w:t xml:space="preserve">Transportation (Last-Mile)</w:t>
            </w:r>
          </w:p>
        </w:tc>
        <w:tc>
          <w:tcPr/>
          <w:p>
            <w:pPr>
              <w:pStyle w:val="Compact"/>
              <w:jc w:val="left"/>
            </w:pPr>
            <w:r>
              <w:t xml:space="preserve">0.1055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5.250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0.1225</w:t>
            </w:r>
          </w:p>
        </w:tc>
        <w:tc>
          <w:tcPr/>
          <w:p>
            <w:pPr>
              <w:pStyle w:val="Compact"/>
              <w:jc w:val="left"/>
            </w:pPr>
            <w:r>
              <w:t xml:space="preserve">Scope 3 (Downstream)</w:t>
            </w:r>
          </w:p>
        </w:tc>
      </w:tr>
      <w:tr>
        <w:tc>
          <w:tcPr/>
          <w:p>
            <w:pPr>
              <w:pStyle w:val="Compact"/>
              <w:jc w:val="left"/>
            </w:pPr>
            <w:r>
              <w:rPr>
                <w:bCs/>
                <w:b/>
              </w:rPr>
              <w:t xml:space="preserve">Total PCF per Functional Unit</w:t>
            </w:r>
          </w:p>
        </w:tc>
        <w:tc>
          <w:tcPr/>
          <w:p>
            <w:pPr>
              <w:pStyle w:val="Compact"/>
              <w:jc w:val="left"/>
            </w:pPr>
            <w:r>
              <w:rPr>
                <w:bCs/>
                <w:b/>
              </w:rPr>
              <w:t xml:space="preserve">16.1407 kg CO2e</w:t>
            </w:r>
          </w:p>
        </w:tc>
        <w:tc>
          <w:tcPr/>
          <w:p>
            <w:pPr>
              <w:pStyle w:val="Compact"/>
            </w:pPr>
          </w:p>
        </w:tc>
      </w:tr>
    </w:tbl>
    <w:bookmarkEnd w:id="36"/>
    <w:bookmarkStart w:id="37" w:name="pcf-by-ghg-protocol-scope"/>
    <w:p>
      <w:pPr>
        <w:pStyle w:val="Heading3"/>
      </w:pPr>
      <w:r>
        <w:t xml:space="preserve">4.8. PCF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 per unit)</w:t>
            </w:r>
          </w:p>
        </w:tc>
        <w:tc>
          <w:tcPr/>
          <w:p>
            <w:pPr>
              <w:pStyle w:val="Compact"/>
              <w:jc w:val="left"/>
            </w:pPr>
            <w:r>
              <w:t xml:space="preserve">Coverage Notes</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No direct operational emissions from rpilndzggt\'s operations for product manufacturing captured within the defined factory_gate boundary for ohloznzkfw.</w:t>
            </w:r>
          </w:p>
        </w:tc>
      </w:tr>
      <w:tr>
        <w:tc>
          <w:tcPr/>
          <w:p>
            <w:pPr>
              <w:pStyle w:val="Compact"/>
              <w:jc w:val="left"/>
            </w:pPr>
            <w:r>
              <w:rPr>
                <w:bCs/>
                <w:b/>
              </w:rPr>
              <w:t xml:space="preserve">Scope 2 (Purchased Energy)</w:t>
            </w:r>
          </w:p>
        </w:tc>
        <w:tc>
          <w:tcPr/>
          <w:p>
            <w:pPr>
              <w:pStyle w:val="Compact"/>
              <w:jc w:val="left"/>
            </w:pPr>
            <w:r>
              <w:t xml:space="preserve">4.32</w:t>
            </w:r>
          </w:p>
        </w:tc>
        <w:tc>
          <w:tcPr/>
          <w:p>
            <w:pPr>
              <w:pStyle w:val="Compact"/>
              <w:jc w:val="left"/>
            </w:pPr>
            <w:r>
              <w:t xml:space="preserve">Covers electricity consumption in the production facility.</w:t>
            </w:r>
          </w:p>
        </w:tc>
      </w:tr>
      <w:tr>
        <w:tc>
          <w:tcPr/>
          <w:p>
            <w:pPr>
              <w:pStyle w:val="Compact"/>
              <w:jc w:val="left"/>
            </w:pPr>
            <w:r>
              <w:rPr>
                <w:bCs/>
                <w:b/>
              </w:rPr>
              <w:t xml:space="preserve">Scope 3 (Value Chain)</w:t>
            </w:r>
          </w:p>
        </w:tc>
        <w:tc>
          <w:tcPr/>
          <w:p>
            <w:pPr>
              <w:pStyle w:val="Compact"/>
              <w:jc w:val="left"/>
            </w:pPr>
            <w:r>
              <w:t xml:space="preserve">11.8207</w:t>
            </w:r>
          </w:p>
        </w:tc>
        <w:tc>
          <w:tcPr/>
          <w:p>
            <w:pPr>
              <w:pStyle w:val="Compact"/>
              <w:jc w:val="left"/>
            </w:pPr>
            <w:r>
              <w:t xml:space="preserve">Covers upstream materials, manufacturing, all transportation, use phase, and end-of-life. Represents &gt;95% coverage as per 2026 requirements.</w:t>
            </w:r>
          </w:p>
        </w:tc>
      </w:tr>
      <w:tr>
        <w:tc>
          <w:tcPr/>
          <w:p>
            <w:pPr>
              <w:pStyle w:val="Compact"/>
              <w:jc w:val="left"/>
            </w:pPr>
            <w:r>
              <w:rPr>
                <w:bCs/>
                <w:b/>
              </w:rPr>
              <w:t xml:space="preserve">Total PCF</w:t>
            </w:r>
          </w:p>
        </w:tc>
        <w:tc>
          <w:tcPr/>
          <w:p>
            <w:pPr>
              <w:pStyle w:val="Compact"/>
              <w:jc w:val="left"/>
            </w:pPr>
            <w:r>
              <w:rPr>
                <w:bCs/>
                <w:b/>
              </w:rPr>
              <w:t xml:space="preserve">16.1407</w:t>
            </w:r>
          </w:p>
        </w:tc>
        <w:tc>
          <w:tcPr/>
          <w:p>
            <w:pPr>
              <w:pStyle w:val="Compact"/>
            </w:pPr>
          </w:p>
        </w:tc>
      </w:tr>
    </w:tbl>
    <w:p>
      <w:pPr>
        <w:pStyle w:val="BodyText"/>
      </w:pPr>
      <w:r>
        <w:rPr>
          <w:iCs/>
          <w:i/>
        </w:rPr>
        <w:t xml:space="preserve">Note: Scope 3 total is 6.236 (Materials) + 0.1067 (Primary Transport) + 0.1055 (Last-Mile Transport) + 5.25 (Use Phase) + 0.1225 (EoL) = 11.8207 kg CO2e.</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The analysis identifies the following key emission hotspots for the ohloznzkfw Smart Home Device:</w:t>
      </w:r>
    </w:p>
    <w:p>
      <w:pPr>
        <w:numPr>
          <w:ilvl w:val="0"/>
          <w:numId w:val="1015"/>
        </w:numPr>
        <w:pStyle w:val="Compact"/>
      </w:pPr>
      <w:r>
        <w:rPr>
          <w:bCs/>
          <w:b/>
        </w:rPr>
        <w:t xml:space="preserve">Materials &amp; Manufacturing (Scope 3 Upstream):</w:t>
      </w:r>
      <w:r>
        <w:t xml:space="preserve"> </w:t>
      </w:r>
      <w:r>
        <w:t xml:space="preserve">6.236 kg CO2e (38.6% of total). Specifically, the Lithium-ion Battery Pack and Aluminum Casing show higher emission intensities per unit weight.</w:t>
      </w:r>
    </w:p>
    <w:p>
      <w:pPr>
        <w:numPr>
          <w:ilvl w:val="0"/>
          <w:numId w:val="1015"/>
        </w:numPr>
        <w:pStyle w:val="Compact"/>
      </w:pPr>
      <w:r>
        <w:rPr>
          <w:bCs/>
          <w:b/>
        </w:rPr>
        <w:t xml:space="preserve">Production Energy (Scope 2):</w:t>
      </w:r>
      <w:r>
        <w:t xml:space="preserve"> </w:t>
      </w:r>
      <w:r>
        <w:t xml:space="preserve">4.32 kg CO2e (26.8% of total). The reliance on grid electricity in China, despite 40% renewable usage, contributes significantly.</w:t>
      </w:r>
    </w:p>
    <w:p>
      <w:pPr>
        <w:numPr>
          <w:ilvl w:val="0"/>
          <w:numId w:val="1015"/>
        </w:numPr>
        <w:pStyle w:val="Compact"/>
      </w:pPr>
      <w:r>
        <w:rPr>
          <w:bCs/>
          <w:b/>
        </w:rPr>
        <w:t xml:space="preserve">Use Phase (Scope 3 Downstream):</w:t>
      </w:r>
      <w:r>
        <w:t xml:space="preserve"> </w:t>
      </w:r>
      <w:r>
        <w:t xml:space="preserve">5.25 kg CO2e (32.5% of total). Energy consumption over the product\'s 3-year lifespan accounts for a substantial portion of the overall footprint, particularly considering the European grid mix.</w:t>
      </w:r>
    </w:p>
    <w:p>
      <w:pPr>
        <w:pStyle w:val="FirstParagraph"/>
      </w:pPr>
      <w:r>
        <w:t xml:space="preserve">Transportation and End-of-Life phases, while important, contribute relatively less to the total PCF in this specific assessment, primarily due to the product\'s relatively low weight and the assumed efficiency of transport and circular economy initiatives.</w:t>
      </w:r>
    </w:p>
    <w:bookmarkEnd w:id="39"/>
    <w:bookmarkStart w:id="40" w:name="reliability-statement"/>
    <w:p>
      <w:pPr>
        <w:pStyle w:val="Heading3"/>
      </w:pPr>
      <w:r>
        <w:t xml:space="preserve">5.2. Reliability Statement</w:t>
      </w:r>
    </w:p>
    <w:p>
      <w:pPr>
        <w:pStyle w:val="FirstParagraph"/>
      </w:pPr>
      <w:r>
        <w:t xml:space="preserve">This report is based on the parameters and illustrative data provided by rpilndzggt, supplemented with industry-average emission factors from reputable databases (e.g., DEFRA, Ecoinvent equivalents). The accuracy of the PCF is directly dependent on the quality and specificity of the underlying data. While the methodology adheres strictly to the GHG Protocol and aims for high Scope 3 coverage, the illustrative nature of some input parameters (e.g., specific transport distances, renewable energy mix percentages) means the results should be interpreted as a robust estimation rather than a precise measurement for the ohloznzkfw product.</w:t>
      </w:r>
    </w:p>
    <w:bookmarkEnd w:id="40"/>
    <w:bookmarkStart w:id="41" w:name="recommendations-for-emission-reduction"/>
    <w:p>
      <w:pPr>
        <w:pStyle w:val="Heading3"/>
      </w:pPr>
      <w:r>
        <w:t xml:space="preserve">5.3. Recommendations for Emission Reduction</w:t>
      </w:r>
    </w:p>
    <w:p>
      <w:pPr>
        <w:pStyle w:val="FirstParagraph"/>
      </w:pPr>
      <w:r>
        <w:t xml:space="preserve">To reduce the PCF of the ohloznzkfw Smart Home Device, rpilndzggt should focus on the following areas:</w:t>
      </w:r>
    </w:p>
    <w:p>
      <w:pPr>
        <w:numPr>
          <w:ilvl w:val="0"/>
          <w:numId w:val="1016"/>
        </w:numPr>
        <w:pStyle w:val="Compact"/>
      </w:pPr>
      <w:r>
        <w:rPr>
          <w:bCs/>
          <w:b/>
        </w:rPr>
        <w:t xml:space="preserve">Material Optimization:</w:t>
      </w:r>
    </w:p>
    <w:p>
      <w:pPr>
        <w:numPr>
          <w:ilvl w:val="1"/>
          <w:numId w:val="1017"/>
        </w:numPr>
        <w:pStyle w:val="Compact"/>
      </w:pPr>
      <w:r>
        <w:t xml:space="preserve">Explore alternative, lower-carbon materials for the Lithium-ion Battery Pack, Aluminum Casing, and other high-impact components.</w:t>
      </w:r>
    </w:p>
    <w:p>
      <w:pPr>
        <w:numPr>
          <w:ilvl w:val="1"/>
          <w:numId w:val="1017"/>
        </w:numPr>
        <w:pStyle w:val="Compact"/>
      </w:pPr>
      <w:r>
        <w:t xml:space="preserve">Increase recycled content in materials like aluminum and plastics, where feasible, provided this does not compromise product quality or lifespan.</w:t>
      </w:r>
    </w:p>
    <w:p>
      <w:pPr>
        <w:numPr>
          <w:ilvl w:val="1"/>
          <w:numId w:val="1017"/>
        </w:numPr>
        <w:pStyle w:val="Compact"/>
      </w:pPr>
      <w:r>
        <w:t xml:space="preserve">Optimize product design to reduce material usage without impacting functionality.</w:t>
      </w:r>
    </w:p>
    <w:p>
      <w:pPr>
        <w:numPr>
          <w:ilvl w:val="0"/>
          <w:numId w:val="1016"/>
        </w:numPr>
        <w:pStyle w:val="Compact"/>
      </w:pPr>
      <w:r>
        <w:rPr>
          <w:bCs/>
          <w:b/>
        </w:rPr>
        <w:t xml:space="preserve">Renewable Energy Transition:</w:t>
      </w:r>
    </w:p>
    <w:p>
      <w:pPr>
        <w:numPr>
          <w:ilvl w:val="1"/>
          <w:numId w:val="1018"/>
        </w:numPr>
        <w:pStyle w:val="Compact"/>
      </w:pPr>
      <w:r>
        <w:t xml:space="preserve">Increase the percentage of renewable energy directly sourced or purchased for manufacturing operations in China. This could involve direct investment in renewable energy projects or purchasing high-quality Renewable Energy Certificates (RECs).</w:t>
      </w:r>
    </w:p>
    <w:p>
      <w:pPr>
        <w:numPr>
          <w:ilvl w:val="0"/>
          <w:numId w:val="1016"/>
        </w:numPr>
        <w:pStyle w:val="Compact"/>
      </w:pPr>
      <w:r>
        <w:rPr>
          <w:bCs/>
          <w:b/>
        </w:rPr>
        <w:t xml:space="preserve">Use Phase Efficiency:</w:t>
      </w:r>
    </w:p>
    <w:p>
      <w:pPr>
        <w:numPr>
          <w:ilvl w:val="1"/>
          <w:numId w:val="1019"/>
        </w:numPr>
        <w:pStyle w:val="Compact"/>
      </w:pPr>
      <w:r>
        <w:t xml:space="preserve">Develop energy-efficient modes and features for the device to reduce its electricity consumption during the use phase.</w:t>
      </w:r>
    </w:p>
    <w:p>
      <w:pPr>
        <w:numPr>
          <w:ilvl w:val="1"/>
          <w:numId w:val="1019"/>
        </w:numPr>
        <w:pStyle w:val="Compact"/>
      </w:pPr>
      <w:r>
        <w:t xml:space="preserve">Educate consumers on energy-saving practices and optimal device usage.</w:t>
      </w:r>
    </w:p>
    <w:p>
      <w:pPr>
        <w:numPr>
          <w:ilvl w:val="1"/>
          <w:numId w:val="1019"/>
        </w:numPr>
        <w:pStyle w:val="Compact"/>
      </w:pPr>
      <w:r>
        <w:t xml:space="preserve">Investigate the potential for lower-carbon electricity sources for the product\'s operational regions in Europe.</w:t>
      </w:r>
    </w:p>
    <w:p>
      <w:pPr>
        <w:numPr>
          <w:ilvl w:val="0"/>
          <w:numId w:val="1016"/>
        </w:numPr>
        <w:pStyle w:val="Compact"/>
      </w:pPr>
      <w:r>
        <w:rPr>
          <w:bCs/>
          <w:b/>
        </w:rPr>
        <w:t xml:space="preserve">Supply Chain Engagement:</w:t>
      </w:r>
    </w:p>
    <w:p>
      <w:pPr>
        <w:numPr>
          <w:ilvl w:val="1"/>
          <w:numId w:val="1020"/>
        </w:numPr>
        <w:pStyle w:val="Compact"/>
      </w:pPr>
      <w:r>
        <w:t xml:space="preserve">Collaborate with key suppliers to obtain primary, product-specific emission data for a more precise Scope 3 assessment.</w:t>
      </w:r>
    </w:p>
    <w:p>
      <w:pPr>
        <w:numPr>
          <w:ilvl w:val="1"/>
          <w:numId w:val="1020"/>
        </w:numPr>
        <w:pStyle w:val="Compact"/>
      </w:pPr>
      <w:r>
        <w:t xml:space="preserve">Work with logistics partners to explore more carbon-efficient transport routes and modes, especially for last-mile delivery.</w:t>
      </w:r>
    </w:p>
    <w:p>
      <w:pPr>
        <w:numPr>
          <w:ilvl w:val="0"/>
          <w:numId w:val="1016"/>
        </w:numPr>
        <w:pStyle w:val="Compact"/>
      </w:pPr>
      <w:r>
        <w:rPr>
          <w:bCs/>
          <w:b/>
        </w:rPr>
        <w:t xml:space="preserve">Circular Economy Enhancement:</w:t>
      </w:r>
    </w:p>
    <w:p>
      <w:pPr>
        <w:numPr>
          <w:ilvl w:val="1"/>
          <w:numId w:val="1021"/>
        </w:numPr>
        <w:pStyle w:val="Compact"/>
      </w:pPr>
      <w:r>
        <w:t xml:space="preserve">Expand and promote the existing take-back programs to maximize collection and recycling rates.</w:t>
      </w:r>
    </w:p>
    <w:p>
      <w:pPr>
        <w:numPr>
          <w:ilvl w:val="1"/>
          <w:numId w:val="1021"/>
        </w:numPr>
        <w:pStyle w:val="Compact"/>
      </w:pPr>
      <w:r>
        <w:t xml:space="preserve">Explore design for disassembly and repairability to extend product lifespan and facilitate material recovery.</w:t>
      </w:r>
    </w:p>
    <w:p>
      <w:r>
        <w:pict>
          <v:rect style="width:0;height:1.5pt" o:hralign="center" o:hrstd="t" o:hr="t"/>
        </w:pict>
      </w:r>
    </w:p>
    <w:p>
      <w:pPr>
        <w:pStyle w:val="FirstParagraph"/>
      </w:pPr>
      <w:r>
        <w:t xml:space="preserve">Confidential - Internal Use Only | Generated by oyexostnps</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ohloznzkfw (Smart Home Device)</dc:title>
  <dc:creator/>
  <dc:description>Detailed Product Carbon Footprint (PCF) analysis report for the ohloznzkfw Smart Home Device manufactured by rpilndzggt, following GHG Protocol standards.</dc:description>
  <dc:language>en</dc:language>
  <cp:keywords/>
  <dcterms:created xsi:type="dcterms:W3CDTF">2026-07-16T18:09:04Z</dcterms:created>
  <dcterms:modified xsi:type="dcterms:W3CDTF">2026-07-16T18:09:04Z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