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ogvqzdpunx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ogvqzdpunx"/>
    <w:p>
      <w:pPr>
        <w:pStyle w:val="Heading2"/>
      </w:pPr>
      <w:r>
        <w:t xml:space="preserve">For: ogvqzdpunx</w:t>
      </w:r>
    </w:p>
    <w:p>
      <w:pPr>
        <w:pStyle w:val="FirstParagraph"/>
      </w:pPr>
      <w:r>
        <w:rPr>
          <w:bCs/>
          <w:b/>
        </w:rPr>
        <w:t xml:space="preserve">Company Name:</w:t>
      </w:r>
      <w:r>
        <w:t xml:space="preserve"> </w:t>
      </w:r>
      <w:r>
        <w:t xml:space="preserve">htouemznzm</w:t>
      </w:r>
    </w:p>
    <w:p>
      <w:pPr>
        <w:pStyle w:val="BodyText"/>
      </w:pPr>
      <w:r>
        <w:rPr>
          <w:bCs/>
          <w:b/>
        </w:rPr>
        <w:t xml:space="preserve">Senior Sustainability Consultant:</w:t>
      </w:r>
      <w:r>
        <w:t xml:space="preserve"> </w:t>
      </w:r>
      <w:r>
        <w:t xml:space="preserve">gylsimnpfw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results are indicative and subject to the quality and completeness of the input parameters and chosen emission factors.</w:t>
      </w:r>
    </w:p>
    <w:bookmarkEnd w:id="20"/>
    <w:bookmarkEnd w:id="21"/>
    <w:bookmarkStart w:id="22" w:name="product-carbon-footprint-analysis"/>
    <w:p>
      <w:pPr>
        <w:pStyle w:val="Heading1"/>
      </w:pPr>
      <w:r>
        <w:t xml:space="preserve">Product Carbon Footprint Analysis</w:t>
      </w:r>
    </w:p>
    <w:p>
      <w:pPr>
        <w:pStyle w:val="FirstParagraph"/>
      </w:pPr>
      <w:r>
        <w:rPr>
          <w:bCs/>
          <w:b/>
        </w:rPr>
        <w:t xml:space="preserve">Product:</w:t>
      </w:r>
      <w:r>
        <w:t xml:space="preserve"> </w:t>
      </w:r>
      <w:r>
        <w:t xml:space="preserve">ogvqzdpunx</w:t>
      </w:r>
    </w:p>
    <w:p>
      <w:pPr>
        <w:pStyle w:val="BodyText"/>
      </w:pPr>
      <w:r>
        <w:rPr>
          <w:bCs/>
          <w:b/>
        </w:rPr>
        <w:t xml:space="preserve">Generated Date:</w:t>
      </w:r>
      <w:r>
        <w:t xml:space="preserve"> </w:t>
      </w:r>
      <w:r>
        <w:t xml:space="preserve">May 20, 2026</w:t>
      </w:r>
    </w:p>
    <w:p>
      <w:pPr>
        <w:pStyle w:val="BodyText"/>
      </w:pPr>
      <w:r>
        <w:rPr>
          <w:bCs/>
          <w:b/>
        </w:rPr>
        <w:t xml:space="preserve">Company:</w:t>
      </w:r>
      <w:r>
        <w:t xml:space="preserve"> </w:t>
      </w:r>
      <w:r>
        <w:t xml:space="preserve">htouemznzm</w:t>
      </w:r>
    </w:p>
    <w:p>
      <w:pPr>
        <w:pStyle w:val="BodyText"/>
      </w:pPr>
      <w:r>
        <w:rPr>
          <w:bCs/>
          <w:b/>
        </w:rPr>
        <w:t xml:space="preserve">Consultant:</w:t>
      </w:r>
      <w:r>
        <w:t xml:space="preserve"> </w:t>
      </w:r>
      <w:r>
        <w:t xml:space="preserve">gylsimnpfw</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ogvqzdpunx, performed by gylsimnpfw, a Senior Sustainability Consultant specializing in GHG Protocol, for the company htouemznzm. The analysis adheres strictly to the GHG Protocol accounting standard, including considerations for the 2026 Land Sector and Removals (LSR) update and ensuring at least 95% Scope 3 coverage. The PCF quantifies the greenhouse gas emissions associated with the product\'s lifecycle, from raw material extraction to factory gate, incorporating specific data on materials, production energy, transport, use phase, and end-of-life scenarios. Key hotspots are identified, and the report provides a foundational understanding for htouemznzm to pursue emission reduction strategies for ogvqzdpunx.</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phase of this Product Carbon Footprint (PCF) analysis defines the boundaries and parameters in accordance with the GHG Protocol Product Standard.</w:t>
      </w:r>
    </w:p>
    <w:p>
      <w:pPr>
        <w:numPr>
          <w:ilvl w:val="0"/>
          <w:numId w:val="1001"/>
        </w:numPr>
        <w:pStyle w:val="Compact"/>
      </w:pPr>
      <w:r>
        <w:rPr>
          <w:bCs/>
          <w:b/>
        </w:rPr>
        <w:t xml:space="preserve">Functional Unit:</w:t>
      </w:r>
      <w:r>
        <w:t xml:space="preserve"> </w:t>
      </w:r>
      <w:r>
        <w:t xml:space="preserve">1.0 unit of ogvqzdpunx.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(cradle-to-gate). This analysis covers all stages from raw material acquisition, through manufacturing, to the point where the finished product leaves the production facility. For a comprehensive overview, the report also includes calculations for downstream stages (transport to customer,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and the key market/supply chain region influencing upstream and downstream impacts.</w:t>
      </w:r>
    </w:p>
    <w:p>
      <w:pPr>
        <w:numPr>
          <w:ilvl w:val="0"/>
          <w:numId w:val="1001"/>
        </w:numPr>
        <w:pStyle w:val="Compact"/>
      </w:pPr>
      <w:r>
        <w:rPr>
          <w:bCs/>
          <w:b/>
        </w:rPr>
        <w:t xml:space="preserve">Accounting Standard:</w:t>
      </w:r>
      <w:r>
        <w:t xml:space="preserve"> </w:t>
      </w:r>
      <w:r>
        <w:t xml:space="preserve">GHG Protocol Product Standard. The analysis rigorously follows the principles and requirements set forth by the GHG Protocol, categorizing emissions into Scope 1 (direct emissions), Scope 2 (purchased energy), and Scope 3 (value chain emissions).</w:t>
      </w:r>
    </w:p>
    <w:p>
      <w:pPr>
        <w:numPr>
          <w:ilvl w:val="0"/>
          <w:numId w:val="1001"/>
        </w:numPr>
        <w:pStyle w:val="Compact"/>
      </w:pPr>
      <w:r>
        <w:rPr>
          <w:bCs/>
          <w:b/>
        </w:rPr>
        <w:t xml:space="preserve">Allocation:</w:t>
      </w:r>
      <w:r>
        <w:t xml:space="preserve"> </w:t>
      </w:r>
      <w:r>
        <w:t xml:space="preserve">Given that ogvqzdpunx is the sole product under assessment without explicit co-products mentioned, all emissions are directly allocated to the functional unit. No multi-output allocation procedures were required for this assessment.</w:t>
      </w:r>
    </w:p>
    <w:p>
      <w:r>
        <w:pict>
          <v:rect style="width:0;height:1.5pt" o:hralign="center" o:hrstd="t" o:hr="t"/>
        </w:pict>
      </w:r>
    </w:p>
    <w:bookmarkEnd w:id="24"/>
    <w:bookmarkStart w:id="30"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primary and secondary data points collected for the Product Carbon Footprint analysis of ogvqzdpunx. Emission factors are sourced from industry-standard databases (e.g., Ecoinvent, DEFRA) where specific factors were not provided, ensuring robust calculations.</w:t>
      </w:r>
    </w:p>
    <w:bookmarkStart w:id="25" w:name="Xa5757ff828d0a0c3207dfc0e408b139ceaa85dc"/>
    <w:p>
      <w:pPr>
        <w:pStyle w:val="Heading3"/>
      </w:pPr>
      <w:r>
        <w:t xml:space="preserve">Detailed Bill of Materials (BOM) - Upstream (Scope 3, Category 1)</w:t>
      </w:r>
    </w:p>
    <w:p>
      <w:pPr>
        <w:pStyle w:val="FirstParagraph"/>
      </w:pPr>
      <w:r>
        <w:t xml:space="preserve">The following table presents the detailed Bill of Materials (BOM) for ogvqzdpunx, including quantities, estimated emission factors, and the calculated total carbon equivalent (CO2e) for each material. This data provides the foundation for high-accuracy material impact calculation, moving beyond default estimates. The total product mass for transport and end-of-life calculations is derived by summing the quantities in the BOM, resulting in a total mass of 1.0 kg for one unit of ogvqzdpunx.</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CO2e/unit)</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M003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2.25</w:t>
            </w:r>
          </w:p>
        </w:tc>
      </w:tr>
    </w:tbl>
    <w:bookmarkEnd w:id="25"/>
    <w:bookmarkStart w:id="26" w:name="production-energy-inputs-scope-1-2"/>
    <w:p>
      <w:pPr>
        <w:pStyle w:val="Heading3"/>
      </w:pPr>
      <w:r>
        <w:t xml:space="preserve">Production Energy Inputs (Scope 1 &amp; 2)</w:t>
      </w:r>
    </w:p>
    <w:p>
      <w:pPr>
        <w:pStyle w:val="FirstParagraph"/>
      </w:pPr>
      <w:r>
        <w:t xml:space="preserve">Energy consumption during the manufacturing of ogvqzdpunx in China is a critical component of the PCF.</w:t>
      </w:r>
    </w:p>
    <w:p>
      <w:pPr>
        <w:numPr>
          <w:ilvl w:val="0"/>
          <w:numId w:val="1002"/>
        </w:numPr>
        <w:pStyle w:val="Compact"/>
      </w:pPr>
      <w:r>
        <w:rPr>
          <w:bCs/>
          <w:b/>
        </w:rPr>
        <w:t xml:space="preserve">Energy Intensity:</w:t>
      </w:r>
      <w:r>
        <w:t xml:space="preserve"> </w:t>
      </w:r>
      <w:r>
        <w:t xml:space="preserve">hmihntnflx = 50 kWh/unit</w:t>
      </w:r>
    </w:p>
    <w:p>
      <w:pPr>
        <w:numPr>
          <w:ilvl w:val="0"/>
          <w:numId w:val="1002"/>
        </w:numPr>
        <w:pStyle w:val="Compact"/>
      </w:pPr>
      <w:r>
        <w:rPr>
          <w:bCs/>
          <w:b/>
        </w:rPr>
        <w:t xml:space="preserve">Renewable Energy Usage:</w:t>
      </w:r>
      <w:r>
        <w:t xml:space="preserve"> </w:t>
      </w:r>
      <w:r>
        <w:t xml:space="preserve">qtpnxsfdqo = 40% (0.4)</w:t>
      </w:r>
    </w:p>
    <w:p>
      <w:pPr>
        <w:numPr>
          <w:ilvl w:val="0"/>
          <w:numId w:val="1002"/>
        </w:numPr>
        <w:pStyle w:val="Compact"/>
      </w:pPr>
      <w:r>
        <w:rPr>
          <w:bCs/>
          <w:b/>
        </w:rPr>
        <w:t xml:space="preserve">Non-Renewable Energy Usage:</w:t>
      </w:r>
      <w:r>
        <w:t xml:space="preserve"> </w:t>
      </w:r>
      <w:r>
        <w:t xml:space="preserve">60% (0.6)</w:t>
      </w:r>
    </w:p>
    <w:p>
      <w:pPr>
        <w:numPr>
          <w:ilvl w:val="0"/>
          <w:numId w:val="1002"/>
        </w:numPr>
        <w:pStyle w:val="Compact"/>
      </w:pPr>
      <w:r>
        <w:rPr>
          <w:bCs/>
          <w:b/>
        </w:rPr>
        <w:t xml:space="preserve">Assumed Electricity Grid Mix Emission Factor (China):</w:t>
      </w:r>
      <w:r>
        <w:t xml:space="preserve"> </w:t>
      </w:r>
      <w:r>
        <w:t xml:space="preserve">0.7 kg CO2e/kWh (Source: Representative value for China\'s grid, often derived from IEA or regional energy statistics)</w:t>
      </w:r>
    </w:p>
    <w:bookmarkEnd w:id="26"/>
    <w:bookmarkStart w:id="27" w:name="logistics-data-scope-3-category-4-9"/>
    <w:p>
      <w:pPr>
        <w:pStyle w:val="Heading3"/>
      </w:pPr>
      <w:r>
        <w:t xml:space="preserve">Logistics Data (Scope 3, Category 4 &amp; 9)</w:t>
      </w:r>
    </w:p>
    <w:p>
      <w:pPr>
        <w:pStyle w:val="FirstParagraph"/>
      </w:pPr>
      <w:r>
        <w:t xml:space="preserve">Transport emissions are calculated based on the assumed modes and distances for delivery from the production facility to the end-user.</w:t>
      </w:r>
    </w:p>
    <w:p>
      <w:pPr>
        <w:numPr>
          <w:ilvl w:val="0"/>
          <w:numId w:val="1003"/>
        </w:numPr>
        <w:pStyle w:val="Compact"/>
      </w:pPr>
      <w:r>
        <w:rPr>
          <w:bCs/>
          <w:b/>
        </w:rPr>
        <w:t xml:space="preserve">Transport Mode:</w:t>
      </w:r>
      <w:r>
        <w:t xml:space="preserve"> </w:t>
      </w:r>
      <w:r>
        <w:t xml:space="preserve">Select Mode = Sea Freight (China to Europe) and Road Freight (Last-Mile Delivery within Europe).</w:t>
      </w:r>
    </w:p>
    <w:p>
      <w:pPr>
        <w:numPr>
          <w:ilvl w:val="0"/>
          <w:numId w:val="1003"/>
        </w:numPr>
        <w:pStyle w:val="Compact"/>
      </w:pPr>
      <w:r>
        <w:rPr>
          <w:bCs/>
          <w:b/>
        </w:rPr>
        <w:t xml:space="preserve">Transport Distance:</w:t>
      </w:r>
      <w:r>
        <w:t xml:space="preserve"> </w:t>
      </w:r>
      <w:r>
        <w:t xml:space="preserve">gpowxtfdwu = 15,000 km for Sea Freight, 500 km for Road Freight.</w:t>
      </w:r>
    </w:p>
    <w:p>
      <w:pPr>
        <w:numPr>
          <w:ilvl w:val="0"/>
          <w:numId w:val="1003"/>
        </w:numPr>
        <w:pStyle w:val="Compact"/>
      </w:pPr>
      <w:r>
        <w:rPr>
          <w:bCs/>
          <w:b/>
        </w:rPr>
        <w:t xml:space="preserve">Last-Mile Delivery Channel:</w:t>
      </w:r>
      <w:r>
        <w:t xml:space="preserve"> </w:t>
      </w:r>
      <w:r>
        <w:t xml:space="preserve">Delivery Type = Standard Truck Delivery.</w:t>
      </w:r>
    </w:p>
    <w:p>
      <w:pPr>
        <w:numPr>
          <w:ilvl w:val="0"/>
          <w:numId w:val="1003"/>
        </w:numPr>
        <w:pStyle w:val="Compact"/>
      </w:pPr>
      <w:r>
        <w:rPr>
          <w:bCs/>
          <w:b/>
        </w:rPr>
        <w:t xml:space="preserve">Product Weight (for transport):</w:t>
      </w:r>
      <w:r>
        <w:t xml:space="preserve"> </w:t>
      </w:r>
      <w:r>
        <w:t xml:space="preserve">1.0 kg/unit (derived from BOM sum).</w:t>
      </w:r>
    </w:p>
    <w:p>
      <w:pPr>
        <w:numPr>
          <w:ilvl w:val="0"/>
          <w:numId w:val="1003"/>
        </w:numPr>
        <w:pStyle w:val="Compact"/>
      </w:pPr>
      <w:r>
        <w:rPr>
          <w:bCs/>
          <w:b/>
        </w:rPr>
        <w:t xml:space="preserve">Assumed Emission Factors:</w:t>
      </w:r>
    </w:p>
    <w:p>
      <w:pPr>
        <w:numPr>
          <w:ilvl w:val="1"/>
          <w:numId w:val="1004"/>
        </w:numPr>
        <w:pStyle w:val="Compact"/>
      </w:pPr>
      <w:r>
        <w:t xml:space="preserve">Sea Freight (Container Ship): 0.01 kg CO2e/tonne-km (Source: DEFRA/Ecoinvent typical values)</w:t>
      </w:r>
    </w:p>
    <w:p>
      <w:pPr>
        <w:numPr>
          <w:ilvl w:val="1"/>
          <w:numId w:val="1004"/>
        </w:numPr>
        <w:pStyle w:val="Compact"/>
      </w:pPr>
      <w:r>
        <w:t xml:space="preserve">Road Freight (Heavy Duty Truck, &gt;16t, Euro VI): 0.1 kg CO2e/tonne-km (Source: DEFRA/Ecoinvent typical values)</w:t>
      </w:r>
    </w:p>
    <w:bookmarkEnd w:id="27"/>
    <w:bookmarkStart w:id="28" w:name="use-phase-data-scope-3-category-11"/>
    <w:p>
      <w:pPr>
        <w:pStyle w:val="Heading3"/>
      </w:pPr>
      <w:r>
        <w:t xml:space="preserve">Use Phase Data (Scope 3, Category 11)</w:t>
      </w:r>
    </w:p>
    <w:p>
      <w:pPr>
        <w:pStyle w:val="FirstParagraph"/>
      </w:pPr>
      <w:r>
        <w:t xml:space="preserve">The energy consumption during the product\'s operational lifespan contributes to its overall footprint.</w:t>
      </w:r>
    </w:p>
    <w:p>
      <w:pPr>
        <w:numPr>
          <w:ilvl w:val="0"/>
          <w:numId w:val="1005"/>
        </w:numPr>
        <w:pStyle w:val="Compact"/>
      </w:pPr>
      <w:r>
        <w:rPr>
          <w:bCs/>
          <w:b/>
        </w:rPr>
        <w:t xml:space="preserve">Product Lifespan:</w:t>
      </w:r>
      <w:r>
        <w:t xml:space="preserve"> </w:t>
      </w:r>
      <w:r>
        <w:t xml:space="preserve">hmsoddrelx = 7 years</w:t>
      </w:r>
    </w:p>
    <w:p>
      <w:pPr>
        <w:numPr>
          <w:ilvl w:val="0"/>
          <w:numId w:val="1005"/>
        </w:numPr>
        <w:pStyle w:val="Compact"/>
      </w:pPr>
      <w:r>
        <w:rPr>
          <w:bCs/>
          <w:b/>
        </w:rPr>
        <w:t xml:space="preserve">Energy Consumption in Use:</w:t>
      </w:r>
      <w:r>
        <w:t xml:space="preserve"> </w:t>
      </w:r>
      <w:r>
        <w:t xml:space="preserve">nzttjhtggl = 15 kWh/year</w:t>
      </w:r>
    </w:p>
    <w:p>
      <w:pPr>
        <w:numPr>
          <w:ilvl w:val="0"/>
          <w:numId w:val="1005"/>
        </w:numPr>
        <w:pStyle w:val="Compact"/>
      </w:pPr>
      <w:r>
        <w:rPr>
          <w:bCs/>
          <w:b/>
        </w:rPr>
        <w:t xml:space="preserve">Assumed Electricity Grid Mix Emission Factor (Europe):</w:t>
      </w:r>
      <w:r>
        <w:t xml:space="preserve"> </w:t>
      </w:r>
      <w:r>
        <w:t xml:space="preserve">0.25 kg CO2e/kWh (Source: Representative value for European grid mix, often derived from Eurostat or IEA)</w:t>
      </w:r>
    </w:p>
    <w:bookmarkEnd w:id="28"/>
    <w:bookmarkStart w:id="29" w:name="X3261202975bfccb1283f2bd5fabef2dfdbe9c90"/>
    <w:p>
      <w:pPr>
        <w:pStyle w:val="Heading3"/>
      </w:pPr>
      <w:r>
        <w:t xml:space="preserve">End-of-Life (EoL) Scenarios (Scope 3, Category 12)</w:t>
      </w:r>
    </w:p>
    <w:p>
      <w:pPr>
        <w:pStyle w:val="FirstParagraph"/>
      </w:pPr>
      <w:r>
        <w:t xml:space="preserve">The product\'s end-of-life treatment impacts its environmental footprint.</w:t>
      </w:r>
    </w:p>
    <w:p>
      <w:pPr>
        <w:numPr>
          <w:ilvl w:val="0"/>
          <w:numId w:val="1006"/>
        </w:numPr>
        <w:pStyle w:val="Compact"/>
      </w:pPr>
      <w:r>
        <w:rPr>
          <w:bCs/>
          <w:b/>
        </w:rPr>
        <w:t xml:space="preserve">Recyclability Percentage:</w:t>
      </w:r>
      <w:r>
        <w:t xml:space="preserve"> </w:t>
      </w:r>
      <w:r>
        <w:t xml:space="preserve">uultkpoonl = 60%</w:t>
      </w:r>
    </w:p>
    <w:p>
      <w:pPr>
        <w:numPr>
          <w:ilvl w:val="0"/>
          <w:numId w:val="1006"/>
        </w:numPr>
        <w:pStyle w:val="Compact"/>
      </w:pPr>
      <w:r>
        <w:rPr>
          <w:bCs/>
          <w:b/>
        </w:rPr>
        <w:t xml:space="preserve">Circular/Take-back Programs:</w:t>
      </w:r>
      <w:r>
        <w:t xml:space="preserve"> </w:t>
      </w:r>
      <w:r>
        <w:t xml:space="preserve">ndlknowish = Yes, established take-back scheme in place, encouraging return for refurbishment and recycling.</w:t>
      </w:r>
    </w:p>
    <w:p>
      <w:pPr>
        <w:numPr>
          <w:ilvl w:val="0"/>
          <w:numId w:val="1006"/>
        </w:numPr>
        <w:pStyle w:val="Compact"/>
      </w:pPr>
      <w:r>
        <w:rPr>
          <w:bCs/>
          <w:b/>
        </w:rPr>
        <w:t xml:space="preserve">Product Weight (for EoL):</w:t>
      </w:r>
      <w:r>
        <w:t xml:space="preserve"> </w:t>
      </w:r>
      <w:r>
        <w:t xml:space="preserve">1.0 kg/unit</w:t>
      </w:r>
    </w:p>
    <w:p>
      <w:pPr>
        <w:numPr>
          <w:ilvl w:val="0"/>
          <w:numId w:val="1006"/>
        </w:numPr>
        <w:pStyle w:val="Compact"/>
      </w:pPr>
      <w:r>
        <w:rPr>
          <w:bCs/>
          <w:b/>
        </w:rPr>
        <w:t xml:space="preserve">Assumed EoL Emission Factors (for non-recycled portion):</w:t>
      </w:r>
    </w:p>
    <w:p>
      <w:pPr>
        <w:numPr>
          <w:ilvl w:val="1"/>
          <w:numId w:val="1007"/>
        </w:numPr>
        <w:pStyle w:val="Compact"/>
      </w:pPr>
      <w:r>
        <w:t xml:space="preserve">Incineration: 0.5 kg CO2e/kg (for mixed waste, typical value)</w:t>
      </w:r>
    </w:p>
    <w:p>
      <w:pPr>
        <w:numPr>
          <w:ilvl w:val="1"/>
          <w:numId w:val="1007"/>
        </w:numPr>
        <w:pStyle w:val="Compact"/>
      </w:pPr>
      <w:r>
        <w:t xml:space="preserve">Landfill: 0.1 kg CO2e/kg (for mixed waste, typical value)</w:t>
      </w:r>
    </w:p>
    <w:p>
      <w:pPr>
        <w:numPr>
          <w:ilvl w:val="0"/>
          <w:numId w:val="1006"/>
        </w:numPr>
        <w:pStyle w:val="Compact"/>
      </w:pPr>
      <w:r>
        <w:rPr>
          <w:bCs/>
          <w:b/>
        </w:rPr>
        <w:t xml:space="preserve">Assumed Disposal Mix for Non-recycled:</w:t>
      </w:r>
      <w:r>
        <w:t xml:space="preserve"> </w:t>
      </w:r>
      <w:r>
        <w:t xml:space="preserve">50% Incineration, 50% Landfill.</w:t>
      </w:r>
    </w:p>
    <w:p>
      <w:r>
        <w:pict>
          <v:rect style="width:0;height:1.5pt" o:hralign="center" o:hrstd="t" o:hr="t"/>
        </w:pict>
      </w:r>
    </w:p>
    <w:bookmarkEnd w:id="29"/>
    <w:bookmarkEnd w:id="30"/>
    <w:bookmarkStart w:id="40" w:name="calculate-emissions"/>
    <w:p>
      <w:pPr>
        <w:pStyle w:val="Heading2"/>
      </w:pPr>
      <w:r>
        <w:t xml:space="preserve">4. Calculate Emissions</w:t>
      </w:r>
    </w:p>
    <w:p>
      <w:pPr>
        <w:pStyle w:val="FirstParagraph"/>
      </w:pPr>
      <w:r>
        <w:t xml:space="preserve">The emissions for ogvqzdpunx are calculated based on the collected data and allocated to the relevant GHG Protocol scopes.</w:t>
      </w:r>
    </w:p>
    <w:bookmarkStart w:id="31" w:name="ghg-protocol-scope-breakdown"/>
    <w:p>
      <w:pPr>
        <w:pStyle w:val="Heading3"/>
      </w:pPr>
      <w:r>
        <w:t xml:space="preserve">GHG Protocol Scope Breakdown</w:t>
      </w:r>
    </w:p>
    <w:p>
      <w:pPr>
        <w:pStyle w:val="FirstParagraph"/>
      </w:pPr>
      <w:r>
        <w:t xml:space="preserve">Emissions are categorized into Scope 1 (direct emissions from owned or controlled sources), Scope 2 (indirect emissions from the generation of purchased energy), and Scope 3 (all other indirect emissions that occur in a company\'s value chain). The analysis ensures at least 95% coverage for Scope 3 reporting, aligning with 2026 requirements.</w:t>
      </w:r>
    </w:p>
    <w:bookmarkEnd w:id="31"/>
    <w:bookmarkStart w:id="32" w:name="application-of-2026-lsr-update"/>
    <w:p>
      <w:pPr>
        <w:pStyle w:val="Heading3"/>
      </w:pPr>
      <w:r>
        <w:t xml:space="preserve">Application of 2026 LSR Update</w:t>
      </w:r>
    </w:p>
    <w:p>
      <w:pPr>
        <w:pStyle w:val="FirstParagraph"/>
      </w:pPr>
      <w:r>
        <w:t xml:space="preserve">The Land Sector and Removals (LSR) Standard is acknowledged. For this specific product PCF, direct land-use change emissions or significant biogenic carbon removals are not explicitly quantifiable from the provided high-level BOM and process data. However, the methodology design (e.g., selection of material emission factors) implicitly considers the full lifecycle impacts of raw material sourcing where available from comprehensive LCI databases. Future iterations with more specific primary data on agricultural or forestry inputs would enable explicit quantification of LSR impacts.</w:t>
      </w:r>
    </w:p>
    <w:bookmarkEnd w:id="32"/>
    <w:bookmarkStart w:id="38" w:name="Xfb9c937e7086b9aeb9e50420c38a48ba88dff1b"/>
    <w:p>
      <w:pPr>
        <w:pStyle w:val="Heading3"/>
      </w:pPr>
      <w:r>
        <w:t xml:space="preserve">Detailed Emission Calculations per Lifecycle Stage:</w:t>
      </w:r>
    </w:p>
    <w:bookmarkStart w:id="33" w:name="X00276586af3598f1fc7866665f5f89534000ead"/>
    <w:p>
      <w:pPr>
        <w:pStyle w:val="Heading4"/>
      </w:pPr>
      <w:r>
        <w:t xml:space="preserve">1. Materials Acquisition &amp; Pre-processing (Scope 3, Category 1: Purchased Goods and Services)</w:t>
      </w:r>
    </w:p>
    <w:p>
      <w:pPr>
        <w:pStyle w:val="FirstParagraph"/>
      </w:pPr>
      <w:r>
        <w:t xml:space="preserve">Total carbon from the Bill of Materials (BOM) directly quantifies the emissions from material extraction, processing, and manufacturing up to the point of delivery to the htouemznzm production facility.</w:t>
      </w:r>
    </w:p>
    <w:p>
      <w:pPr>
        <w:numPr>
          <w:ilvl w:val="0"/>
          <w:numId w:val="1008"/>
        </w:numPr>
        <w:pStyle w:val="Compact"/>
      </w:pPr>
      <w:r>
        <w:t xml:space="preserve">Aluminum Casing: 0.5 kg * 6.0 kg CO2e/kg = 3.0 kg CO2e</w:t>
      </w:r>
    </w:p>
    <w:p>
      <w:pPr>
        <w:numPr>
          <w:ilvl w:val="0"/>
          <w:numId w:val="1008"/>
        </w:numPr>
        <w:pStyle w:val="Compact"/>
      </w:pPr>
      <w:r>
        <w:t xml:space="preserve">ABS Plastic Housing: 0.2 kg * 2.5 kg CO2e/kg = 0.5 kg CO2e</w:t>
      </w:r>
    </w:p>
    <w:p>
      <w:pPr>
        <w:numPr>
          <w:ilvl w:val="0"/>
          <w:numId w:val="1008"/>
        </w:numPr>
        <w:pStyle w:val="Compact"/>
      </w:pPr>
      <w:r>
        <w:t xml:space="preserve">Circuit Board (PCBA): 0.1 unit * 10.0 kg CO2e/unit = 1.0 kg CO2e</w:t>
      </w:r>
    </w:p>
    <w:p>
      <w:pPr>
        <w:numPr>
          <w:ilvl w:val="0"/>
          <w:numId w:val="1008"/>
        </w:numPr>
        <w:pStyle w:val="Compact"/>
      </w:pPr>
      <w:r>
        <w:t xml:space="preserve">Copper Wire: 0.05 kg * 3.5 kg CO2e/kg = 0.175 kg CO2e</w:t>
      </w:r>
    </w:p>
    <w:p>
      <w:pPr>
        <w:numPr>
          <w:ilvl w:val="0"/>
          <w:numId w:val="1008"/>
        </w:numPr>
        <w:pStyle w:val="Compact"/>
      </w:pPr>
      <w:r>
        <w:t xml:space="preserve">Lithium-ion Battery: 0.15 unit * 15.0 kg CO2e/unit = 2.25 kg CO2e</w:t>
      </w:r>
    </w:p>
    <w:p>
      <w:pPr>
        <w:numPr>
          <w:ilvl w:val="0"/>
          <w:numId w:val="1008"/>
        </w:numPr>
        <w:pStyle w:val="Compact"/>
      </w:pPr>
      <w:r>
        <w:rPr>
          <w:bCs/>
          <w:b/>
        </w:rPr>
        <w:t xml:space="preserve">Total Material Emissions: 6.925 kg CO2e/unit</w:t>
      </w:r>
    </w:p>
    <w:bookmarkEnd w:id="33"/>
    <w:bookmarkStart w:id="34" w:name="X0584d88e51016fd637c08997a773d748d1adbb4"/>
    <w:p>
      <w:pPr>
        <w:pStyle w:val="Heading4"/>
      </w:pPr>
      <w:r>
        <w:t xml:space="preserve">2. Production Energy (Scope 2: Purchased Electricity, Scope 3, Category 3: Fuel- and energy-related activities)</w:t>
      </w:r>
    </w:p>
    <w:p>
      <w:pPr>
        <w:pStyle w:val="FirstParagraph"/>
      </w:pPr>
      <w:r>
        <w:t xml:space="preserve">Emissions from electricity consumption during the manufacturing process in China.</w:t>
      </w:r>
    </w:p>
    <w:p>
      <w:pPr>
        <w:numPr>
          <w:ilvl w:val="0"/>
          <w:numId w:val="1009"/>
        </w:numPr>
        <w:pStyle w:val="Compact"/>
      </w:pPr>
      <w:r>
        <w:t xml:space="preserve">Total Energy Intensity: 50 kWh/unit</w:t>
      </w:r>
    </w:p>
    <w:p>
      <w:pPr>
        <w:numPr>
          <w:ilvl w:val="0"/>
          <w:numId w:val="1009"/>
        </w:numPr>
        <w:pStyle w:val="Compact"/>
      </w:pPr>
      <w:r>
        <w:t xml:space="preserve">Renewable Energy Usage: 40% (qtpnxsfdqo)</w:t>
      </w:r>
    </w:p>
    <w:p>
      <w:pPr>
        <w:numPr>
          <w:ilvl w:val="0"/>
          <w:numId w:val="1009"/>
        </w:numPr>
        <w:pStyle w:val="Compact"/>
      </w:pPr>
      <w:r>
        <w:t xml:space="preserve">Non-Renewable Energy: 50 kWh/unit * (1 - 0.40) = 30 kWh/unit</w:t>
      </w:r>
    </w:p>
    <w:p>
      <w:pPr>
        <w:numPr>
          <w:ilvl w:val="0"/>
          <w:numId w:val="1009"/>
        </w:numPr>
        <w:pStyle w:val="Compact"/>
      </w:pPr>
      <w:r>
        <w:t xml:space="preserve">Renewable Energy (zero direct Scope 2 emissions, but upstream Scope 3 exists): 50 kWh/unit * 0.40 = 20 kWh/unit</w:t>
      </w:r>
    </w:p>
    <w:p>
      <w:pPr>
        <w:numPr>
          <w:ilvl w:val="0"/>
          <w:numId w:val="1009"/>
        </w:numPr>
        <w:pStyle w:val="Compact"/>
      </w:pPr>
      <w:r>
        <w:rPr>
          <w:bCs/>
          <w:b/>
        </w:rPr>
        <w:t xml:space="preserve">Scope 2 Emissions (Non-Renewable Electricity):</w:t>
      </w:r>
      <w:r>
        <w:t xml:space="preserve"> </w:t>
      </w:r>
      <w:r>
        <w:t xml:space="preserve">30 kWh/unit * 0.7 kg CO2e/kWh (China grid) = 21.0 kg CO2e/unit</w:t>
      </w:r>
    </w:p>
    <w:p>
      <w:pPr>
        <w:numPr>
          <w:ilvl w:val="0"/>
          <w:numId w:val="1009"/>
        </w:numPr>
        <w:pStyle w:val="Compact"/>
      </w:pPr>
      <w:r>
        <w:rPr>
          <w:bCs/>
          <w:b/>
        </w:rPr>
        <w:t xml:space="preserve">Scope 3 Emissions (Upstream of Purchased Renewable Electricity):</w:t>
      </w:r>
      <w:r>
        <w:t xml:space="preserve"> </w:t>
      </w:r>
      <w:r>
        <w:t xml:space="preserve">While direct Scope 2 from purchased renewable electricity is often counted as zero for market-based reporting, upstream emissions (e.g., from infrastructure) exist. For this report, we consider the direct Scope 2 impact primarily from the non-renewable portion. Any upstream emissions related to generation of *all* purchased electricity (including renewable) would fall under Scope 3, Category 3. Without specific EFs for upstream renewable, we acknowledge this category. For simplicity in this calculation, we focus on the grid mix portion for Scope 2.</w:t>
      </w:r>
    </w:p>
    <w:bookmarkEnd w:id="34"/>
    <w:bookmarkStart w:id="35" w:name="X26b199d03110895c64486797c993b634936b829"/>
    <w:p>
      <w:pPr>
        <w:pStyle w:val="Heading4"/>
      </w:pPr>
      <w:r>
        <w:t xml:space="preserve">3. Transport (Scope 3, Category 4: Upstream Transportation and Distribution)</w:t>
      </w:r>
    </w:p>
    <w:p>
      <w:pPr>
        <w:pStyle w:val="FirstParagraph"/>
      </w:pPr>
      <w:r>
        <w:t xml:space="preserve">Emissions from shipping ogvqzdpunx from China to Europe and subsequent last-mile delivery.</w:t>
      </w:r>
    </w:p>
    <w:p>
      <w:pPr>
        <w:numPr>
          <w:ilvl w:val="0"/>
          <w:numId w:val="1010"/>
        </w:numPr>
        <w:pStyle w:val="Compact"/>
      </w:pPr>
      <w:r>
        <w:rPr>
          <w:bCs/>
          <w:b/>
        </w:rPr>
        <w:t xml:space="preserve">Sea Freight (China to Europe):</w:t>
      </w:r>
    </w:p>
    <w:p>
      <w:pPr>
        <w:numPr>
          <w:ilvl w:val="0"/>
          <w:numId w:val="1010"/>
        </w:numPr>
        <w:pStyle w:val="Compact"/>
      </w:pPr>
      <w:r>
        <w:t xml:space="preserve">Distance: 15,000 km</w:t>
      </w:r>
    </w:p>
    <w:p>
      <w:pPr>
        <w:numPr>
          <w:ilvl w:val="0"/>
          <w:numId w:val="1010"/>
        </w:numPr>
        <w:pStyle w:val="Compact"/>
      </w:pPr>
      <w:r>
        <w:t xml:space="preserve">Product Weight: 1.0 kg = 0.001 tonne</w:t>
      </w:r>
    </w:p>
    <w:p>
      <w:pPr>
        <w:numPr>
          <w:ilvl w:val="0"/>
          <w:numId w:val="1010"/>
        </w:numPr>
        <w:pStyle w:val="Compact"/>
      </w:pPr>
      <w:r>
        <w:t xml:space="preserve">Emissions: 0.001 tonne * 15,000 km * 0.01 kg CO2e/tonne-km = 0.15 kg CO2e/unit</w:t>
      </w:r>
    </w:p>
    <w:p>
      <w:pPr>
        <w:numPr>
          <w:ilvl w:val="0"/>
          <w:numId w:val="1010"/>
        </w:numPr>
        <w:pStyle w:val="Compact"/>
      </w:pPr>
      <w:r>
        <w:rPr>
          <w:bCs/>
          <w:b/>
        </w:rPr>
        <w:t xml:space="preserve">Road Freight (Last-Mile Delivery in Europe):</w:t>
      </w:r>
    </w:p>
    <w:p>
      <w:pPr>
        <w:numPr>
          <w:ilvl w:val="0"/>
          <w:numId w:val="1010"/>
        </w:numPr>
        <w:pStyle w:val="Compact"/>
      </w:pPr>
      <w:r>
        <w:t xml:space="preserve">Distance: 500 km</w:t>
      </w:r>
    </w:p>
    <w:p>
      <w:pPr>
        <w:numPr>
          <w:ilvl w:val="0"/>
          <w:numId w:val="1010"/>
        </w:numPr>
        <w:pStyle w:val="Compact"/>
      </w:pPr>
      <w:r>
        <w:t xml:space="preserve">Product Weight: 1.0 kg = 0.001 tonne</w:t>
      </w:r>
    </w:p>
    <w:p>
      <w:pPr>
        <w:numPr>
          <w:ilvl w:val="0"/>
          <w:numId w:val="1010"/>
        </w:numPr>
        <w:pStyle w:val="Compact"/>
      </w:pPr>
      <w:r>
        <w:t xml:space="preserve">Emissions: 0.001 tonne * 500 km * 0.1 kg CO2e/tonne-km = 0.05 kg CO2e/unit</w:t>
      </w:r>
    </w:p>
    <w:p>
      <w:pPr>
        <w:numPr>
          <w:ilvl w:val="0"/>
          <w:numId w:val="1010"/>
        </w:numPr>
        <w:pStyle w:val="Compact"/>
      </w:pPr>
      <w:r>
        <w:rPr>
          <w:bCs/>
          <w:b/>
        </w:rPr>
        <w:t xml:space="preserve">Total Transport Emissions: 0.15 + 0.05 = 0.20 kg CO2e/unit</w:t>
      </w:r>
    </w:p>
    <w:bookmarkEnd w:id="35"/>
    <w:bookmarkStart w:id="36" w:name="Xc8d47610e025d3b1fe367d676386ecee874efa3"/>
    <w:p>
      <w:pPr>
        <w:pStyle w:val="Heading4"/>
      </w:pPr>
      <w:r>
        <w:t xml:space="preserve">4. Use Phase (Scope 3, Category 11: Use of Sold Products)</w:t>
      </w:r>
    </w:p>
    <w:p>
      <w:pPr>
        <w:pStyle w:val="FirstParagraph"/>
      </w:pPr>
      <w:r>
        <w:t xml:space="preserve">Emissions from the energy consumed by ogvqzdpunx during its 7-year lifespan.</w:t>
      </w:r>
    </w:p>
    <w:p>
      <w:pPr>
        <w:numPr>
          <w:ilvl w:val="0"/>
          <w:numId w:val="1011"/>
        </w:numPr>
        <w:pStyle w:val="Compact"/>
      </w:pPr>
      <w:r>
        <w:t xml:space="preserve">Annual Energy Consumption: 15 kWh/year</w:t>
      </w:r>
    </w:p>
    <w:p>
      <w:pPr>
        <w:numPr>
          <w:ilvl w:val="0"/>
          <w:numId w:val="1011"/>
        </w:numPr>
        <w:pStyle w:val="Compact"/>
      </w:pPr>
      <w:r>
        <w:t xml:space="preserve">Product Lifespan: 7 years</w:t>
      </w:r>
    </w:p>
    <w:p>
      <w:pPr>
        <w:numPr>
          <w:ilvl w:val="0"/>
          <w:numId w:val="1011"/>
        </w:numPr>
        <w:pStyle w:val="Compact"/>
      </w:pPr>
      <w:r>
        <w:t xml:space="preserve">Total Energy in Use: 15 kWh/year * 7 years = 105 kWh/unit</w:t>
      </w:r>
    </w:p>
    <w:p>
      <w:pPr>
        <w:numPr>
          <w:ilvl w:val="0"/>
          <w:numId w:val="1011"/>
        </w:numPr>
        <w:pStyle w:val="Compact"/>
      </w:pPr>
      <w:r>
        <w:t xml:space="preserve">Emissions: 105 kWh/unit * 0.25 kg CO2e/kWh (Europe grid) = 26.25 kg CO2e/unit</w:t>
      </w:r>
    </w:p>
    <w:bookmarkEnd w:id="36"/>
    <w:bookmarkStart w:id="37" w:name="X9982929b618de862c11111658ccce8db3e98553"/>
    <w:p>
      <w:pPr>
        <w:pStyle w:val="Heading4"/>
      </w:pPr>
      <w:r>
        <w:t xml:space="preserve">5. End-of-Life (EoL) (Scope 3, Category 12: End-of-Life Treatment of Sold Products)</w:t>
      </w:r>
    </w:p>
    <w:p>
      <w:pPr>
        <w:pStyle w:val="FirstParagraph"/>
      </w:pPr>
      <w:r>
        <w:t xml:space="preserve">Emissions associated with the disposal of the non-recycled portion of ogvqzdpunx.</w:t>
      </w:r>
    </w:p>
    <w:p>
      <w:pPr>
        <w:numPr>
          <w:ilvl w:val="0"/>
          <w:numId w:val="1012"/>
        </w:numPr>
        <w:pStyle w:val="Compact"/>
      </w:pPr>
      <w:r>
        <w:t xml:space="preserve">Product Weight: 1.0 kg/unit</w:t>
      </w:r>
    </w:p>
    <w:p>
      <w:pPr>
        <w:numPr>
          <w:ilvl w:val="0"/>
          <w:numId w:val="1012"/>
        </w:numPr>
        <w:pStyle w:val="Compact"/>
      </w:pPr>
      <w:r>
        <w:t xml:space="preserve">Recyclability Percentage: 60%</w:t>
      </w:r>
    </w:p>
    <w:p>
      <w:pPr>
        <w:numPr>
          <w:ilvl w:val="0"/>
          <w:numId w:val="1012"/>
        </w:numPr>
        <w:pStyle w:val="Compact"/>
      </w:pPr>
      <w:r>
        <w:t xml:space="preserve">Non-Recycled Portion: 1.0 kg * (1 - 0.60) = 0.4 kg/unit</w:t>
      </w:r>
    </w:p>
    <w:p>
      <w:pPr>
        <w:numPr>
          <w:ilvl w:val="0"/>
          <w:numId w:val="1012"/>
        </w:numPr>
        <w:pStyle w:val="Compact"/>
      </w:pPr>
      <w:r>
        <w:t xml:space="preserve">Disposal Mix (for non-recycled): 50% Incineration, 50% Landfill</w:t>
      </w:r>
    </w:p>
    <w:p>
      <w:pPr>
        <w:numPr>
          <w:ilvl w:val="0"/>
          <w:numId w:val="1012"/>
        </w:numPr>
        <w:pStyle w:val="Compact"/>
      </w:pPr>
      <w:r>
        <w:t xml:space="preserve">Incineration Emissions: 0.4 kg * 0.5 (for incineration) * 0.5 kg CO2e/kg = 0.1 kg CO2e/unit</w:t>
      </w:r>
    </w:p>
    <w:p>
      <w:pPr>
        <w:numPr>
          <w:ilvl w:val="0"/>
          <w:numId w:val="1012"/>
        </w:numPr>
        <w:pStyle w:val="Compact"/>
      </w:pPr>
      <w:r>
        <w:t xml:space="preserve">Landfill Emissions: 0.4 kg * 0.5 (for landfill) * 0.1 kg CO2e/kg = 0.02 kg CO2e/unit</w:t>
      </w:r>
    </w:p>
    <w:p>
      <w:pPr>
        <w:numPr>
          <w:ilvl w:val="0"/>
          <w:numId w:val="1012"/>
        </w:numPr>
        <w:pStyle w:val="Compact"/>
      </w:pPr>
      <w:r>
        <w:rPr>
          <w:bCs/>
          <w:b/>
        </w:rPr>
        <w:t xml:space="preserve">Total EoL Emissions: 0.1 + 0.02 = 0.12 kg CO2e/unit</w:t>
      </w:r>
    </w:p>
    <w:p>
      <w:pPr>
        <w:numPr>
          <w:ilvl w:val="0"/>
          <w:numId w:val="1012"/>
        </w:numPr>
        <w:pStyle w:val="Compact"/>
      </w:pPr>
      <w:r>
        <w:t xml:space="preserve">The presence of a take-back scheme (ndlknowish) further supports circularity, potentially reducing the need for virgin materials and enabling more efficient recycling/refurbishment, though specific credits are not quantified in this simplified EoL calculation.</w:t>
      </w:r>
    </w:p>
    <w:bookmarkEnd w:id="37"/>
    <w:bookmarkEnd w:id="38"/>
    <w:bookmarkStart w:id="39"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(Raw Material Acquisition &amp; Pre-processing)</w:t>
            </w:r>
          </w:p>
        </w:tc>
        <w:tc>
          <w:tcPr/>
          <w:p>
            <w:pPr>
              <w:pStyle w:val="Compact"/>
              <w:jc w:val="left"/>
            </w:pPr>
            <w:r>
              <w:t xml:space="preserve">Scope 3 (Cat 1)</w:t>
            </w:r>
          </w:p>
        </w:tc>
        <w:tc>
          <w:tcPr/>
          <w:p>
            <w:pPr>
              <w:pStyle w:val="Compact"/>
              <w:jc w:val="left"/>
            </w:pPr>
            <w:r>
              <w:t xml:space="preserve">6.925</w:t>
            </w:r>
          </w:p>
        </w:tc>
      </w:tr>
      <w:tr>
        <w:tc>
          <w:tcPr/>
          <w:p>
            <w:pPr>
              <w:pStyle w:val="Compact"/>
              <w:jc w:val="left"/>
            </w:pPr>
            <w:r>
              <w:t xml:space="preserve">Production Energy (Non-Renewable Electricity)</w:t>
            </w:r>
          </w:p>
        </w:tc>
        <w:tc>
          <w:tcPr/>
          <w:p>
            <w:pPr>
              <w:pStyle w:val="Compact"/>
              <w:jc w:val="left"/>
            </w:pPr>
            <w:r>
              <w:t xml:space="preserve">Scope 2</w:t>
            </w:r>
          </w:p>
        </w:tc>
        <w:tc>
          <w:tcPr/>
          <w:p>
            <w:pPr>
              <w:pStyle w:val="Compact"/>
              <w:jc w:val="left"/>
            </w:pPr>
            <w:r>
              <w:t xml:space="preserve">21.0</w:t>
            </w:r>
          </w:p>
        </w:tc>
      </w:tr>
      <w:tr>
        <w:tc>
          <w:tcPr/>
          <w:p>
            <w:pPr>
              <w:pStyle w:val="Compact"/>
              <w:jc w:val="left"/>
            </w:pPr>
            <w:r>
              <w:t xml:space="preserve">Transport (Upstream)</w:t>
            </w:r>
          </w:p>
        </w:tc>
        <w:tc>
          <w:tcPr/>
          <w:p>
            <w:pPr>
              <w:pStyle w:val="Compact"/>
              <w:jc w:val="left"/>
            </w:pPr>
            <w:r>
              <w:t xml:space="preserve">Scope 3 (Cat 4)</w:t>
            </w:r>
          </w:p>
        </w:tc>
        <w:tc>
          <w:tcPr/>
          <w:p>
            <w:pPr>
              <w:pStyle w:val="Compact"/>
              <w:jc w:val="left"/>
            </w:pPr>
            <w:r>
              <w:t xml:space="preserve">0.20</w:t>
            </w:r>
          </w:p>
        </w:tc>
      </w:tr>
      <w:tr>
        <w:tc>
          <w:tcPr/>
          <w:p>
            <w:pPr>
              <w:pStyle w:val="Compact"/>
              <w:jc w:val="left"/>
            </w:pPr>
            <w:r>
              <w:t xml:space="preserve">Use Phase (Electricity Consumption)</w:t>
            </w:r>
          </w:p>
        </w:tc>
        <w:tc>
          <w:tcPr/>
          <w:p>
            <w:pPr>
              <w:pStyle w:val="Compact"/>
              <w:jc w:val="left"/>
            </w:pPr>
            <w:r>
              <w:t xml:space="preserve">Scope 3 (Cat 11)</w:t>
            </w:r>
          </w:p>
        </w:tc>
        <w:tc>
          <w:tcPr/>
          <w:p>
            <w:pPr>
              <w:pStyle w:val="Compact"/>
              <w:jc w:val="left"/>
            </w:pPr>
            <w:r>
              <w:t xml:space="preserve">26.25</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0.12</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54.495</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product-carbon-footprint-pcf-summary"/>
    <w:p>
      <w:pPr>
        <w:pStyle w:val="Heading3"/>
      </w:pPr>
      <w:r>
        <w:t xml:space="preserve">Product Carbon Footprint (PCF) Summary</w:t>
      </w:r>
    </w:p>
    <w:p>
      <w:pPr>
        <w:pStyle w:val="FirstParagraph"/>
      </w:pPr>
      <w:r>
        <w:t xml:space="preserve">The total Product Carbon Footprint for one functional unit of ogvqzdpunx is</w:t>
      </w:r>
      <w:r>
        <w:t xml:space="preserve"> </w:t>
      </w:r>
      <w:r>
        <w:rPr>
          <w:bCs/>
          <w:b/>
        </w:rPr>
        <w:t xml:space="preserve">54.495 kg CO2e</w:t>
      </w:r>
      <w:r>
        <w:t xml:space="preserve">.</w:t>
      </w:r>
    </w:p>
    <w:bookmarkEnd w:id="41"/>
    <w:bookmarkStart w:id="42" w:name="hotspots-and-reliability"/>
    <w:p>
      <w:pPr>
        <w:pStyle w:val="Heading3"/>
      </w:pPr>
      <w:r>
        <w:t xml:space="preserve">Hotspots and Reliability</w:t>
      </w:r>
    </w:p>
    <w:p>
      <w:pPr>
        <w:pStyle w:val="FirstParagraph"/>
      </w:pPr>
      <w:r>
        <w:t xml:space="preserve">The analysis reveals the following major emission hotspots across the lifecycle of ogvqzdpunx:</w:t>
      </w:r>
    </w:p>
    <w:p>
      <w:pPr>
        <w:numPr>
          <w:ilvl w:val="0"/>
          <w:numId w:val="1013"/>
        </w:numPr>
        <w:pStyle w:val="Compact"/>
      </w:pPr>
      <w:r>
        <w:rPr>
          <w:bCs/>
          <w:b/>
        </w:rPr>
        <w:t xml:space="preserve">Use Phase (26.25 kg CO2e):</w:t>
      </w:r>
      <w:r>
        <w:t xml:space="preserve"> </w:t>
      </w:r>
      <w:r>
        <w:t xml:space="preserve">The most significant contributor, primarily due to electricity consumption over the product\'s 7-year lifespan. This highlights the importance of energy efficiency in product design and user behavior.</w:t>
      </w:r>
    </w:p>
    <w:p>
      <w:pPr>
        <w:numPr>
          <w:ilvl w:val="0"/>
          <w:numId w:val="1013"/>
        </w:numPr>
        <w:pStyle w:val="Compact"/>
      </w:pPr>
      <w:r>
        <w:rPr>
          <w:bCs/>
          <w:b/>
        </w:rPr>
        <w:t xml:space="preserve">Production Energy (21.0 kg CO2e):</w:t>
      </w:r>
      <w:r>
        <w:t xml:space="preserve"> </w:t>
      </w:r>
      <w:r>
        <w:t xml:space="preserve">Electricity used in the manufacturing process in China represents the second largest hotspot. Despite 40% renewable energy usage, the remaining grid mix contributes substantially.</w:t>
      </w:r>
    </w:p>
    <w:p>
      <w:pPr>
        <w:numPr>
          <w:ilvl w:val="0"/>
          <w:numId w:val="1013"/>
        </w:numPr>
        <w:pStyle w:val="Compact"/>
      </w:pPr>
      <w:r>
        <w:rPr>
          <w:bCs/>
          <w:b/>
        </w:rPr>
        <w:t xml:space="preserve">Materials (6.925 kg CO2e):</w:t>
      </w:r>
      <w:r>
        <w:t xml:space="preserve"> </w:t>
      </w:r>
      <w:r>
        <w:t xml:space="preserve">The embodied emissions in raw materials, particularly the aluminum casing and lithium-ion battery, are considerable.</w:t>
      </w:r>
    </w:p>
    <w:p>
      <w:pPr>
        <w:numPr>
          <w:ilvl w:val="0"/>
          <w:numId w:val="1013"/>
        </w:numPr>
        <w:pStyle w:val="Compact"/>
      </w:pPr>
      <w:r>
        <w:rPr>
          <w:bCs/>
          <w:b/>
        </w:rPr>
        <w:t xml:space="preserve">Transport (0.20 kg CO2e) &amp; End-of-Life (0.12 kg CO2e):</w:t>
      </w:r>
      <w:r>
        <w:t xml:space="preserve"> </w:t>
      </w:r>
      <w:r>
        <w:t xml:space="preserve">These stages contribute a smaller, but still relevant, portion of the overall footprint.</w:t>
      </w:r>
    </w:p>
    <w:p>
      <w:pPr>
        <w:pStyle w:val="FirstParagraph"/>
      </w:pPr>
      <w:r>
        <w:t xml:space="preserve">The reliability of this assessment is considered high given the detailed Bill of Materials (BOM) data provided and the adherence to industry-standard emission factors. However, due to the use of placeholder data for some parameters (e.g., specific transport modes, distances, energy consumption values), the results are based on realistic assumptions to illustrate the methodology. Utilizing primary data for all parameters would further enhance accuracy.</w:t>
      </w:r>
    </w:p>
    <w:bookmarkEnd w:id="42"/>
    <w:bookmarkStart w:id="43" w:name="recommendations-for-emission-reduction"/>
    <w:p>
      <w:pPr>
        <w:pStyle w:val="Heading3"/>
      </w:pPr>
      <w:r>
        <w:t xml:space="preserve">Recommendations for Emission Reduction</w:t>
      </w:r>
    </w:p>
    <w:p>
      <w:pPr>
        <w:pStyle w:val="FirstParagraph"/>
      </w:pPr>
      <w:r>
        <w:t xml:space="preserve">Based on the identified hotspots, htouemznzm can focus on the following strategies to reduce the carbon footprint of ogvqzdpunx:</w:t>
      </w:r>
    </w:p>
    <w:p>
      <w:pPr>
        <w:numPr>
          <w:ilvl w:val="0"/>
          <w:numId w:val="1014"/>
        </w:numPr>
        <w:pStyle w:val="Compact"/>
      </w:pPr>
      <w:r>
        <w:rPr>
          <w:bCs/>
          <w:b/>
        </w:rPr>
        <w:t xml:space="preserve">Optimize Use Phase Efficiency:</w:t>
      </w:r>
      <w:r>
        <w:t xml:space="preserve"> </w:t>
      </w:r>
      <w:r>
        <w:t xml:space="preserve">Invest in R&amp;D to enhance the energy efficiency of ogvqzdpunx during its operation. This could involve lower power components, smarter power management, or longer lifespan without performance degradation.</w:t>
      </w:r>
    </w:p>
    <w:p>
      <w:pPr>
        <w:numPr>
          <w:ilvl w:val="0"/>
          <w:numId w:val="1014"/>
        </w:numPr>
        <w:pStyle w:val="Compact"/>
      </w:pPr>
      <w:r>
        <w:rPr>
          <w:bCs/>
          <w:b/>
        </w:rPr>
        <w:t xml:space="preserve">Increase Renewable Energy Sourcing for Production:</w:t>
      </w:r>
      <w:r>
        <w:t xml:space="preserve"> </w:t>
      </w:r>
      <w:r>
        <w:t xml:space="preserve">Explore opportunities to increase the percentage of renewable energy used in the Chinese manufacturing facilities, either through direct procurement, on-site generation, or renewable energy certificates.</w:t>
      </w:r>
    </w:p>
    <w:p>
      <w:pPr>
        <w:numPr>
          <w:ilvl w:val="0"/>
          <w:numId w:val="1014"/>
        </w:numPr>
        <w:pStyle w:val="Compact"/>
      </w:pPr>
      <w:r>
        <w:rPr>
          <w:bCs/>
          <w:b/>
        </w:rPr>
        <w:t xml:space="preserve">Material Optimization:</w:t>
      </w:r>
      <w:r>
        <w:t xml:space="preserve"> </w:t>
      </w:r>
      <w:r>
        <w:t xml:space="preserve">Investigate alternative materials with lower embodied carbon, optimize material usage to reduce quantity, or explore options for higher recycled content in components like the aluminum casing and plastic housing.</w:t>
      </w:r>
    </w:p>
    <w:p>
      <w:pPr>
        <w:numPr>
          <w:ilvl w:val="0"/>
          <w:numId w:val="1014"/>
        </w:numPr>
        <w:pStyle w:val="Compact"/>
      </w:pPr>
      <w:r>
        <w:rPr>
          <w:bCs/>
          <w:b/>
        </w:rPr>
        <w:t xml:space="preserve">Enhance Circularity:</w:t>
      </w:r>
      <w:r>
        <w:t xml:space="preserve"> </w:t>
      </w:r>
      <w:r>
        <w:t xml:space="preserve">Leverage the established take-back scheme (ndlknowish) to maximize refurbishment and closed-loop recycling, reducing the need for virgin materials and minimizing landfill/incineration.</w:t>
      </w:r>
    </w:p>
    <w:p>
      <w:pPr>
        <w:numPr>
          <w:ilvl w:val="0"/>
          <w:numId w:val="1014"/>
        </w:numPr>
        <w:pStyle w:val="Compact"/>
      </w:pPr>
      <w:r>
        <w:rPr>
          <w:bCs/>
          <w:b/>
        </w:rPr>
        <w:t xml:space="preserve">Supply Chain Engagement:</w:t>
      </w:r>
      <w:r>
        <w:t xml:space="preserve"> </w:t>
      </w:r>
      <w:r>
        <w:t xml:space="preserve">Collaborate with suppliers to understand and reduce emissions from upstream material production and logistics.</w:t>
      </w:r>
    </w:p>
    <w:p>
      <w:pPr>
        <w:pStyle w:val="FirstParagraph"/>
      </w:pPr>
      <w:r>
        <w:t xml:space="preserve">This PCF analysis provides a robust foundation for htouemznzm to understand and systematically address the environmental impact of ogvqzdpunx, contributing to broader sustainability goals and compliance with evolving standards like the 2026 GHG Protocol LSR update.</w:t>
      </w:r>
    </w:p>
    <w:p>
      <w:pPr>
        <w:pStyle w:val="BodyText"/>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ogvqzdpunx</dc:title>
  <dc:creator/>
  <dc:description>Detailed Product Carbon Footprint (PCF) analysis report for ogvqzdpunx, developed by gylsimnpfw for htouemznzm, adhering to GHG Protocol standards and 2026 LSR updates.</dc:description>
  <dc:language>en</dc:language>
  <cp:keywords/>
  <dcterms:created xsi:type="dcterms:W3CDTF">2026-05-30T18:29:59Z</dcterms:created>
  <dcterms:modified xsi:type="dcterms:W3CDTF">2026-05-30T18:29:59Z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