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ofduukduwi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ofduukduwi**</w:t>
      </w:r>
    </w:p>
    <w:p>
      <w:pPr>
        <w:pStyle w:val="BodyText"/>
      </w:pPr>
      <w:r>
        <w:t xml:space="preserve">for **svioohjpwt**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nopjxpzmjz</w:t>
      </w:r>
    </w:p>
    <w:p>
      <w:pPr>
        <w:pStyle w:val="BodyText"/>
      </w:pPr>
      <w:r>
        <w:rPr>
          <w:iCs/>
          <w:i/>
        </w:rPr>
        <w:t xml:space="preserve">This report is generated based on available data and industry standards. While efforts have been made to ensure accuracy, the results are indicative and subject to the precision and completeness of the input parameters and emission factors used.</w:t>
      </w:r>
    </w:p>
    <w:p>
      <w:pPr>
        <w:pStyle w:val="BodyText"/>
      </w:pPr>
      <w:r>
        <w:t xml:space="preserve">Generated Date: May 29, 2026</w:t>
      </w:r>
    </w:p>
    <w:bookmarkEnd w:id="20"/>
    <w:bookmarkStart w:id="21" w:name="Xb3479b0b583183e4b9be953bf510feb0beab566"/>
    <w:p>
      <w:pPr>
        <w:pStyle w:val="Heading1"/>
      </w:pPr>
      <w:r>
        <w:t xml:space="preserve">Product Carbon Footprint Report: ofduukduwi</w:t>
      </w:r>
    </w:p>
    <w:p>
      <w:pPr>
        <w:pStyle w:val="FirstParagraph"/>
      </w:pPr>
      <w:r>
        <w:t xml:space="preserve">Generated Date: May 29, 2026</w:t>
      </w:r>
    </w:p>
    <w:p>
      <w:pPr>
        <w:pStyle w:val="BodyText"/>
      </w:pPr>
      <w:r>
        <w:t xml:space="preserve">Company: svioohjpwt</w:t>
      </w:r>
    </w:p>
    <w:p>
      <w:pPr>
        <w:pStyle w:val="BodyText"/>
      </w:pPr>
      <w:r>
        <w:t xml:space="preserve">Senior Sustainability Consultant: nopjxpzmjz</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"ofduukduwi," manufactured by svioohjpwt. The analysis was conducted by nopjxpzmjz, Senior Sustainability Consultant, adhering to the Greenhouse Gas (GHG) Protocol standards, including the 2026 Land Sector and Removals (LSR) update for land use and carbon removals, and ensuring at least 95% coverage for Scope 3 emissions. The total estimated Product Carbon Footprint for one functional unit of \'ofduukduwi\' is **27.78 kg CO2e**, covering material acquisition, manufacturing, transportation, use phase, and end-of-life. The primary hotspots identified are the use phase due to electricity consumption and the upstream material acquisition, particularly for electronic components and batteries.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performed in accordance with the GHG Protocol Product Standard, employing a life cycle assessment (LCA) approach from a cradle-to-grave perspective, with a specific reporting focus on \'factory_gate\' for direct production emissions while comprehensively including downstream emissions.</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 **1.0 unit of ofduukduwi**.</w:t>
      </w:r>
    </w:p>
    <w:bookmarkEnd w:id="23"/>
    <w:bookmarkStart w:id="24" w:name="system-boundary"/>
    <w:p>
      <w:pPr>
        <w:pStyle w:val="Heading3"/>
      </w:pPr>
      <w:r>
        <w:t xml:space="preserve">1.2 System Boundary</w:t>
      </w:r>
    </w:p>
    <w:p>
      <w:pPr>
        <w:numPr>
          <w:ilvl w:val="0"/>
          <w:numId w:val="1002"/>
        </w:numPr>
        <w:pStyle w:val="Compact"/>
      </w:pPr>
      <w:r>
        <w:t xml:space="preserve">The system boundary for the primary production footprint analysis is defined as **factory_gate**. This includes all processes from raw material extraction (cradle) up to the point the finished product leaves the factory gate in China.</w:t>
      </w:r>
    </w:p>
    <w:p>
      <w:pPr>
        <w:numPr>
          <w:ilvl w:val="0"/>
          <w:numId w:val="1002"/>
        </w:numPr>
        <w:pStyle w:val="Compact"/>
      </w:pPr>
      <w:r>
        <w:t xml:space="preserve">However, to provide a holistic view of the product\'s environmental impact as requested, the analysis extends to cover downstream lifecycle stages including transportation to market, the product\'s use phase, and its end-of-life (EoL) scenarios, in alignment with a comprehensive cradle-to-grave PCF.</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(for downstream transport and use phase energy mix assumptions).</w:t>
      </w:r>
    </w:p>
    <w:bookmarkEnd w:id="25"/>
    <w:bookmarkStart w:id="26" w:name="accounting-standard"/>
    <w:p>
      <w:pPr>
        <w:pStyle w:val="Heading3"/>
      </w:pPr>
      <w:r>
        <w:t xml:space="preserve">1.4 Accounting Standard</w:t>
      </w:r>
    </w:p>
    <w:p>
      <w:pPr>
        <w:numPr>
          <w:ilvl w:val="0"/>
          <w:numId w:val="1004"/>
        </w:numPr>
        <w:pStyle w:val="Compact"/>
      </w:pPr>
      <w:r>
        <w:t xml:space="preserve">This PCF analysis strictly adheres to the **GHG Protocol Product Standard**. Emissions are categorized into Scope 1 (direct emissions), Scope 2 (purchased energy emissions), and Scope 3 (value chain emissions).</w:t>
      </w:r>
    </w:p>
    <w:p>
      <w:pPr>
        <w:numPr>
          <w:ilvl w:val="0"/>
          <w:numId w:val="1004"/>
        </w:numPr>
        <w:pStyle w:val="Compact"/>
      </w:pPr>
      <w:r>
        <w:t xml:space="preserve">The **2026 Land Sector and Removals (LSR) Standard** for land use and carbon removals has been applied, acknowledging the biogenic carbon flows where relevant (e.g., for cardboard packaging).</w:t>
      </w:r>
    </w:p>
    <w:p>
      <w:pPr>
        <w:numPr>
          <w:ilvl w:val="0"/>
          <w:numId w:val="1004"/>
        </w:numPr>
        <w:pStyle w:val="Compact"/>
      </w:pPr>
      <w:r>
        <w:t xml:space="preserve">Special attention has been given to **Scope 3 compliance**, aiming for at least 95% coverage as per 2026 requirements.</w:t>
      </w:r>
    </w:p>
    <w:p>
      <w:r>
        <w:pict>
          <v:rect style="width:0;height:1.5pt" o:hralign="center" o:hrstd="t" o:hr="t"/>
        </w:pict>
      </w:r>
    </w:p>
    <w:bookmarkEnd w:id="26"/>
    <w:bookmarkEnd w:id="27"/>
    <w:bookmarkStart w:id="33" w:name="X4b382269346944d8d691e5fbf085b7f144f545a"/>
    <w:p>
      <w:pPr>
        <w:pStyle w:val="Heading2"/>
      </w:pPr>
      <w:r>
        <w:t xml:space="preserve">2. &amp; 3. Lifecycle Mapping (LCI) and Data Collection</w:t>
      </w:r>
    </w:p>
    <w:p>
      <w:pPr>
        <w:pStyle w:val="FirstParagraph"/>
      </w:pPr>
      <w:r>
        <w:t xml:space="preserve">This section details the inventory of materials, energy inputs, and processes throughout the product\'s lifecycle, from raw material acquisition to end-of-life. Primary data points, as provided or reasonably estimated based on parameters, are utilized for high-accuracy calculation. Where specific data was represented by a placeholder (e.g., \'wsveeipw\' for BOM, \'Select Mode\' for Transport), illustrative, industry-representative data has been assumed to enable a detailed calculation, with explicit mention of the source or estimation.</w:t>
      </w:r>
    </w:p>
    <w:bookmarkStart w:id="28" w:name="X7c257ba40a15e2bb711ff1ca639fd783727a1ba"/>
    <w:p>
      <w:pPr>
        <w:pStyle w:val="Heading3"/>
      </w:pPr>
      <w:r>
        <w:t xml:space="preserve">2.1 Bill of Materials (BOM) Analysis for ofduukduwi</w:t>
      </w:r>
    </w:p>
    <w:p>
      <w:pPr>
        <w:pStyle w:val="FirstParagraph"/>
      </w:pPr>
      <w:r>
        <w:t xml:space="preserve">The following table presents the detailed Bill of Materials (BOM) for \'ofduukduwi\'. As \'wsveeipw\' was provided as a placeholder for the BOM data, a representative BOM for a generic electronic device has been constructed based on the specified format. Emission factors are sourced from industry-standard databases (e.g., DEFRA, International Aluminium Institute) or estimated where direct data was unavailable in the search snippets.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Source/Assumption</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Anodizing</w:t>
            </w:r>
          </w:p>
        </w:tc>
        <w:tc>
          <w:tcPr/>
          <w:p>
            <w:pPr>
              <w:pStyle w:val="Compact"/>
              <w:jc w:val="left"/>
            </w:pPr>
            <w:r>
              <w:t xml:space="preserve">0.200</w:t>
            </w:r>
          </w:p>
        </w:tc>
        <w:tc>
          <w:tcPr/>
          <w:p>
            <w:pPr>
              <w:pStyle w:val="Compact"/>
              <w:jc w:val="left"/>
            </w:pPr>
            <w:r>
              <w:t xml:space="preserve">14.77</w:t>
            </w:r>
          </w:p>
        </w:tc>
        <w:tc>
          <w:tcPr/>
          <w:p>
            <w:pPr>
              <w:pStyle w:val="Compact"/>
              <w:jc w:val="left"/>
            </w:pPr>
            <w:r>
              <w:t xml:space="preserve">International Aluminium Institute</w:t>
            </w:r>
          </w:p>
        </w:tc>
        <w:tc>
          <w:tcPr/>
          <w:p>
            <w:pPr>
              <w:pStyle w:val="Compact"/>
              <w:jc w:val="left"/>
            </w:pPr>
            <w:r>
              <w:t xml:space="preserve">2.954</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0.030</w:t>
            </w:r>
          </w:p>
        </w:tc>
        <w:tc>
          <w:tcPr/>
          <w:p>
            <w:pPr>
              <w:pStyle w:val="Compact"/>
              <w:jc w:val="left"/>
            </w:pPr>
            <w:r>
              <w:t xml:space="preserve">50.0</w:t>
            </w:r>
          </w:p>
        </w:tc>
        <w:tc>
          <w:tcPr/>
          <w:p>
            <w:pPr>
              <w:pStyle w:val="Compact"/>
              <w:jc w:val="left"/>
            </w:pPr>
            <w:r>
              <w:t xml:space="preserve">Estimated (complex electronics)</w:t>
            </w:r>
          </w:p>
        </w:tc>
        <w:tc>
          <w:tcPr/>
          <w:p>
            <w:pPr>
              <w:pStyle w:val="Compact"/>
              <w:jc w:val="left"/>
            </w:pPr>
            <w:r>
              <w:t xml:space="preserve">1.500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50.0</w:t>
            </w:r>
          </w:p>
        </w:tc>
        <w:tc>
          <w:tcPr/>
          <w:p>
            <w:pPr>
              <w:pStyle w:val="Compact"/>
              <w:jc w:val="left"/>
            </w:pPr>
            <w:r>
              <w:t xml:space="preserve">Estimated (industry average)</w:t>
            </w:r>
          </w:p>
        </w:tc>
        <w:tc>
          <w:tcPr/>
          <w:p>
            <w:pPr>
              <w:pStyle w:val="Compact"/>
              <w:jc w:val="left"/>
            </w:pPr>
            <w:r>
              <w:t xml:space="preserve">2.500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0.010</w:t>
            </w:r>
          </w:p>
        </w:tc>
        <w:tc>
          <w:tcPr/>
          <w:p>
            <w:pPr>
              <w:pStyle w:val="Compact"/>
              <w:jc w:val="left"/>
            </w:pPr>
            <w:r>
              <w:t xml:space="preserve">4.1</w:t>
            </w:r>
          </w:p>
        </w:tc>
        <w:tc>
          <w:tcPr/>
          <w:p>
            <w:pPr>
              <w:pStyle w:val="Compact"/>
              <w:jc w:val="left"/>
            </w:pPr>
            <w:r>
              <w:t xml:space="preserve">LAPP, ICA</w:t>
            </w:r>
          </w:p>
        </w:tc>
        <w:tc>
          <w:tcPr/>
          <w:p>
            <w:pPr>
              <w:pStyle w:val="Compact"/>
              <w:jc w:val="left"/>
            </w:pPr>
            <w:r>
              <w:t xml:space="preserve">0.041</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0.100</w:t>
            </w:r>
          </w:p>
        </w:tc>
        <w:tc>
          <w:tcPr/>
          <w:p>
            <w:pPr>
              <w:pStyle w:val="Compact"/>
              <w:jc w:val="left"/>
            </w:pPr>
            <w:r>
              <w:t xml:space="preserve">4.0</w:t>
            </w:r>
          </w:p>
        </w:tc>
        <w:tc>
          <w:tcPr/>
          <w:p>
            <w:pPr>
              <w:pStyle w:val="Compact"/>
              <w:jc w:val="left"/>
            </w:pPr>
            <w:r>
              <w:t xml:space="preserve">Estimated (material + process)</w:t>
            </w:r>
          </w:p>
        </w:tc>
        <w:tc>
          <w:tcPr/>
          <w:p>
            <w:pPr>
              <w:pStyle w:val="Compact"/>
              <w:jc w:val="left"/>
            </w:pPr>
            <w:r>
              <w:t xml:space="preserve">0.400</w:t>
            </w:r>
          </w:p>
        </w:tc>
      </w:tr>
      <w:tr>
        <w:tc>
          <w:tcPr/>
          <w:p>
            <w:pPr>
              <w:pStyle w:val="Compact"/>
              <w:jc w:val="left"/>
            </w:pPr>
            <w:r>
              <w:t xml:space="preserve">6</w:t>
            </w:r>
          </w:p>
        </w:tc>
        <w:tc>
          <w:tcPr/>
          <w:p>
            <w:pPr>
              <w:pStyle w:val="Compact"/>
              <w:jc w:val="left"/>
            </w:pPr>
            <w:r>
              <w:t xml:space="preserve">Screen Display</w:t>
            </w:r>
          </w:p>
        </w:tc>
        <w:tc>
          <w:tcPr/>
          <w:p>
            <w:pPr>
              <w:pStyle w:val="Compact"/>
              <w:jc w:val="left"/>
            </w:pPr>
            <w:r>
              <w:t xml:space="preserve">Glass/Elec</w:t>
            </w:r>
          </w:p>
        </w:tc>
        <w:tc>
          <w:tcPr/>
          <w:p>
            <w:pPr>
              <w:pStyle w:val="Compact"/>
              <w:jc w:val="left"/>
            </w:pPr>
            <w:r>
              <w:t xml:space="preserve">Manufacturing</w:t>
            </w:r>
          </w:p>
        </w:tc>
        <w:tc>
          <w:tcPr/>
          <w:p>
            <w:pPr>
              <w:pStyle w:val="Compact"/>
              <w:jc w:val="left"/>
            </w:pPr>
            <w:r>
              <w:t xml:space="preserve">0.080</w:t>
            </w:r>
          </w:p>
        </w:tc>
        <w:tc>
          <w:tcPr/>
          <w:p>
            <w:pPr>
              <w:pStyle w:val="Compact"/>
              <w:jc w:val="left"/>
            </w:pPr>
            <w:r>
              <w:t xml:space="preserve">20.0</w:t>
            </w:r>
          </w:p>
        </w:tc>
        <w:tc>
          <w:tcPr/>
          <w:p>
            <w:pPr>
              <w:pStyle w:val="Compact"/>
              <w:jc w:val="left"/>
            </w:pPr>
            <w:r>
              <w:t xml:space="preserve">Estimated (display module, energy-intensive)</w:t>
            </w:r>
          </w:p>
        </w:tc>
        <w:tc>
          <w:tcPr/>
          <w:p>
            <w:pPr>
              <w:pStyle w:val="Compact"/>
              <w:jc w:val="left"/>
            </w:pPr>
            <w:r>
              <w:t xml:space="preserve">1.600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Conversion</w:t>
            </w:r>
          </w:p>
        </w:tc>
        <w:tc>
          <w:tcPr/>
          <w:p>
            <w:pPr>
              <w:pStyle w:val="Compact"/>
              <w:jc w:val="left"/>
            </w:pPr>
            <w:r>
              <w:t xml:space="preserve">0.030</w:t>
            </w:r>
          </w:p>
        </w:tc>
        <w:tc>
          <w:tcPr/>
          <w:p>
            <w:pPr>
              <w:pStyle w:val="Compact"/>
              <w:jc w:val="left"/>
            </w:pPr>
            <w:r>
              <w:t xml:space="preserve">0.8</w:t>
            </w:r>
          </w:p>
        </w:tc>
        <w:tc>
          <w:tcPr/>
          <w:p>
            <w:pPr>
              <w:pStyle w:val="Compact"/>
              <w:jc w:val="left"/>
            </w:pPr>
            <w:r>
              <w:t xml:space="preserve">DEFRA Database</w:t>
            </w:r>
          </w:p>
        </w:tc>
        <w:tc>
          <w:tcPr/>
          <w:p>
            <w:pPr>
              <w:pStyle w:val="Compact"/>
              <w:jc w:val="left"/>
            </w:pPr>
            <w:r>
              <w:t xml:space="preserve">0.024</w:t>
            </w:r>
          </w:p>
        </w:tc>
      </w:tr>
      <w:tr>
        <w:tc>
          <w:tcPr/>
          <w:p>
            <w:pPr>
              <w:pStyle w:val="Compact"/>
              <w:jc w:val="left"/>
            </w:pPr>
            <w:r>
              <w:t xml:space="preserve">8</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Blending</w:t>
            </w:r>
          </w:p>
        </w:tc>
        <w:tc>
          <w:tcPr/>
          <w:p>
            <w:pPr>
              <w:pStyle w:val="Compact"/>
              <w:jc w:val="left"/>
            </w:pPr>
            <w:r>
              <w:t xml:space="preserve">0.005</w:t>
            </w:r>
          </w:p>
        </w:tc>
        <w:tc>
          <w:tcPr/>
          <w:p>
            <w:pPr>
              <w:pStyle w:val="Compact"/>
              <w:jc w:val="left"/>
            </w:pPr>
            <w:r>
              <w:t xml:space="preserve">2.0</w:t>
            </w:r>
          </w:p>
        </w:tc>
        <w:tc>
          <w:tcPr/>
          <w:p>
            <w:pPr>
              <w:pStyle w:val="Compact"/>
              <w:jc w:val="left"/>
            </w:pPr>
            <w:r>
              <w:t xml:space="preserve">Industrieverband Klebstoffe e.V.</w:t>
            </w:r>
          </w:p>
        </w:tc>
        <w:tc>
          <w:tcPr/>
          <w:p>
            <w:pPr>
              <w:pStyle w:val="Compact"/>
              <w:jc w:val="left"/>
            </w:pPr>
            <w:r>
              <w:t xml:space="preserve">0.010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9.029</w:t>
            </w:r>
          </w:p>
        </w:tc>
      </w:tr>
      <w:tr>
        <w:tc>
          <w:tcPr>
            <w:gridSpan w:val="7"/>
          </w:tcPr>
          <w:p>
            <w:pPr>
              <w:pStyle w:val="Compact"/>
              <w:jc w:val="right"/>
            </w:pPr>
            <w:r>
              <w:rPr>
                <w:bCs/>
                <w:b/>
              </w:rPr>
              <w:t xml:space="preserve">Total Product Weight (kg)</w:t>
            </w:r>
          </w:p>
        </w:tc>
        <w:tc>
          <w:tcPr/>
          <w:p>
            <w:pPr>
              <w:pStyle w:val="Compact"/>
              <w:jc w:val="left"/>
            </w:pPr>
            <w:r>
              <w:rPr>
                <w:bCs/>
                <w:b/>
              </w:rPr>
              <w:t xml:space="preserve">0.505</w:t>
            </w:r>
          </w:p>
        </w:tc>
      </w:tr>
    </w:tbl>
    <w:bookmarkEnd w:id="28"/>
    <w:bookmarkStart w:id="29" w:name="production-energy-inputs"/>
    <w:p>
      <w:pPr>
        <w:pStyle w:val="Heading3"/>
      </w:pPr>
      <w:r>
        <w:t xml:space="preserve">2.2 Production Energy Inputs</w:t>
      </w:r>
    </w:p>
    <w:p>
      <w:pPr>
        <w:numPr>
          <w:ilvl w:val="0"/>
          <w:numId w:val="1005"/>
        </w:numPr>
        <w:pStyle w:val="Compact"/>
      </w:pPr>
      <w:r>
        <w:t xml:space="preserve">**Energy Intensity (kWh/unit):** utqrnnwoum (assumed 20 kWh/unit)</w:t>
      </w:r>
    </w:p>
    <w:p>
      <w:pPr>
        <w:numPr>
          <w:ilvl w:val="0"/>
          <w:numId w:val="1005"/>
        </w:numPr>
        <w:pStyle w:val="Compact"/>
      </w:pPr>
      <w:r>
        <w:t xml:space="preserve">**Renewable Energy Usage:** fxlmpqyver (assumed 50% of total energy)</w:t>
      </w:r>
    </w:p>
    <w:p>
      <w:pPr>
        <w:numPr>
          <w:ilvl w:val="0"/>
          <w:numId w:val="1005"/>
        </w:numPr>
        <w:pStyle w:val="Compact"/>
      </w:pPr>
      <w:r>
        <w:t xml:space="preserve">**Electricity Grid Emission Factor (China):** 0.6 kg CO2e/kWh (national average, estimated based on 2025/2024 data).</w:t>
      </w:r>
    </w:p>
    <w:p>
      <w:pPr>
        <w:numPr>
          <w:ilvl w:val="0"/>
          <w:numId w:val="1005"/>
        </w:numPr>
        <w:pStyle w:val="Compact"/>
      </w:pPr>
      <w:r>
        <w:t xml:space="preserve">**Renewable Energy Emission Factor:** 0 kg CO2e/kWh (assuming certified renewable energy sources with no associated upstream emissions for the purpose of operational accounting).</w:t>
      </w:r>
    </w:p>
    <w:bookmarkEnd w:id="29"/>
    <w:bookmarkStart w:id="30" w:name="transportation-data"/>
    <w:p>
      <w:pPr>
        <w:pStyle w:val="Heading3"/>
      </w:pPr>
      <w:r>
        <w:t xml:space="preserve">2.3 Transportation Data</w:t>
      </w:r>
    </w:p>
    <w:p>
      <w:pPr>
        <w:numPr>
          <w:ilvl w:val="0"/>
          <w:numId w:val="1006"/>
        </w:numPr>
        <w:pStyle w:val="Compact"/>
      </w:pPr>
      <w:r>
        <w:t xml:space="preserve">**Main Transport Mode (China to Europe):** Select Mode (assumed Ocean Freight).</w:t>
      </w:r>
    </w:p>
    <w:p>
      <w:pPr>
        <w:numPr>
          <w:ilvl w:val="0"/>
          <w:numId w:val="1006"/>
        </w:numPr>
        <w:pStyle w:val="Compact"/>
      </w:pPr>
      <w:r>
        <w:t xml:space="preserve">**Main Transport Distance:** imqghmmkny (assumed 10,000 km).</w:t>
      </w:r>
    </w:p>
    <w:p>
      <w:pPr>
        <w:numPr>
          <w:ilvl w:val="0"/>
          <w:numId w:val="1006"/>
        </w:numPr>
        <w:pStyle w:val="Compact"/>
      </w:pPr>
      <w:r>
        <w:t xml:space="preserve">**Ocean Freight Emission Factor:** 0.016 kg CO2e/tonne-km (DEFRA/DESNZ 2025).</w:t>
      </w:r>
    </w:p>
    <w:p>
      <w:pPr>
        <w:numPr>
          <w:ilvl w:val="0"/>
          <w:numId w:val="1006"/>
        </w:numPr>
        <w:pStyle w:val="Compact"/>
      </w:pPr>
      <w:r>
        <w:t xml:space="preserve">**Last-Mile Delivery Channel (Europe):** Delivery Type (assumed Road Freight - Van/Light Truck).</w:t>
      </w:r>
    </w:p>
    <w:p>
      <w:pPr>
        <w:numPr>
          <w:ilvl w:val="0"/>
          <w:numId w:val="1006"/>
        </w:numPr>
        <w:pStyle w:val="Compact"/>
      </w:pPr>
      <w:r>
        <w:t xml:space="preserve">**Last-Mile Delivery Distance:** imqghmmkny (assumed 500 km within Europe).</w:t>
      </w:r>
    </w:p>
    <w:p>
      <w:pPr>
        <w:numPr>
          <w:ilvl w:val="0"/>
          <w:numId w:val="1006"/>
        </w:numPr>
        <w:pStyle w:val="Compact"/>
      </w:pPr>
      <w:r>
        <w:t xml:space="preserve">**Road Freight Emission Factor:** 0.069 kg CO2e/tonne-km (GLEC 2019).</w:t>
      </w:r>
    </w:p>
    <w:bookmarkEnd w:id="30"/>
    <w:bookmarkStart w:id="31" w:name="use-phase-data"/>
    <w:p>
      <w:pPr>
        <w:pStyle w:val="Heading3"/>
      </w:pPr>
      <w:r>
        <w:t xml:space="preserve">2.4 Use Phase Data</w:t>
      </w:r>
    </w:p>
    <w:p>
      <w:pPr>
        <w:numPr>
          <w:ilvl w:val="0"/>
          <w:numId w:val="1007"/>
        </w:numPr>
        <w:pStyle w:val="Compact"/>
      </w:pPr>
      <w:r>
        <w:t xml:space="preserve">**Product Lifespan:** ydrsveegkd (assumed 5 years).</w:t>
      </w:r>
    </w:p>
    <w:p>
      <w:pPr>
        <w:numPr>
          <w:ilvl w:val="0"/>
          <w:numId w:val="1007"/>
        </w:numPr>
        <w:pStyle w:val="Compact"/>
      </w:pPr>
      <w:r>
        <w:t xml:space="preserve">**Energy Consumption in Use (per year):** yqxerwomod (assumed 10 kWh/year).</w:t>
      </w:r>
    </w:p>
    <w:p>
      <w:pPr>
        <w:numPr>
          <w:ilvl w:val="0"/>
          <w:numId w:val="1007"/>
        </w:numPr>
        <w:pStyle w:val="Compact"/>
      </w:pPr>
      <w:r>
        <w:t xml:space="preserve">**Electricity Grid Emission Factor (Europe for Use Phase):** 0.25 kg CO2e/kWh (estimated average for European grid mix).</w:t>
      </w:r>
    </w:p>
    <w:bookmarkEnd w:id="31"/>
    <w:bookmarkStart w:id="32" w:name="end-of-life-eol-scenarios"/>
    <w:p>
      <w:pPr>
        <w:pStyle w:val="Heading3"/>
      </w:pPr>
      <w:r>
        <w:t xml:space="preserve">2.5 End-of-Life (EoL) Scenarios</w:t>
      </w:r>
    </w:p>
    <w:p>
      <w:pPr>
        <w:numPr>
          <w:ilvl w:val="0"/>
          <w:numId w:val="1008"/>
        </w:numPr>
        <w:pStyle w:val="Compact"/>
      </w:pPr>
      <w:r>
        <w:t xml:space="preserve">**Recyclability Percentage:** ugmlrvdxyd (assumed 70%).</w:t>
      </w:r>
    </w:p>
    <w:p>
      <w:pPr>
        <w:numPr>
          <w:ilvl w:val="0"/>
          <w:numId w:val="1008"/>
        </w:numPr>
        <w:pStyle w:val="Compact"/>
      </w:pPr>
      <w:r>
        <w:t xml:space="preserve">**Circular/Take-back Programs:** zejsneyglw (stated as "Exists and is active").</w:t>
      </w:r>
    </w:p>
    <w:p>
      <w:pPr>
        <w:numPr>
          <w:ilvl w:val="0"/>
          <w:numId w:val="1008"/>
        </w:numPr>
        <w:pStyle w:val="Compact"/>
      </w:pPr>
      <w:r>
        <w:t xml:space="preserve">**Disposal Emission Factor:** 1.0 kg CO2e/kg (estimated for non-recycled waste to landfill/incineration, illustrative).</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The emissions are calculated across the identified lifecycle stages and categorized according to the GHG Protocol.</w:t>
      </w:r>
    </w:p>
    <w:bookmarkStart w:id="34" w:name="scope-1-emissions-direct-emissions"/>
    <w:p>
      <w:pPr>
        <w:pStyle w:val="Heading3"/>
      </w:pPr>
      <w:r>
        <w:t xml:space="preserve">4.1 Scope 1 Emissions (Direct Emissions)</w:t>
      </w:r>
    </w:p>
    <w:p>
      <w:pPr>
        <w:pStyle w:val="FirstParagraph"/>
      </w:pPr>
      <w:r>
        <w:t xml:space="preserve">Based on the provided parameters, svioohjpwt\'s direct operational emissions (e.g., from owned vehicles, on-site fuel combustion) for the manufacturing of \'ofduukduwi\' are considered negligible or not explicitly quantified in the provided data. Therefore, Scope 1 emissions for this product\'s PCF are assumed to be 0 kg CO2e.</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electricity purchased for the manufacturing process in China.</w:t>
      </w:r>
    </w:p>
    <w:p>
      <w:pPr>
        <w:numPr>
          <w:ilvl w:val="0"/>
          <w:numId w:val="1009"/>
        </w:numPr>
        <w:pStyle w:val="Compact"/>
      </w:pPr>
      <w:r>
        <w:t xml:space="preserve">Total Energy Intensity: 20 kWh/unit</w:t>
      </w:r>
    </w:p>
    <w:p>
      <w:pPr>
        <w:numPr>
          <w:ilvl w:val="0"/>
          <w:numId w:val="1009"/>
        </w:numPr>
        <w:pStyle w:val="Compact"/>
      </w:pPr>
      <w:r>
        <w:t xml:space="preserve">Renewable Energy Usage: 50%</w:t>
      </w:r>
    </w:p>
    <w:p>
      <w:pPr>
        <w:numPr>
          <w:ilvl w:val="0"/>
          <w:numId w:val="1009"/>
        </w:numPr>
        <w:pStyle w:val="Compact"/>
      </w:pPr>
      <w:r>
        <w:t xml:space="preserve">Non-renewable electricity: 20 kWh * (1 - 0.50) = 10 kWh</w:t>
      </w:r>
    </w:p>
    <w:p>
      <w:pPr>
        <w:numPr>
          <w:ilvl w:val="0"/>
          <w:numId w:val="1009"/>
        </w:numPr>
        <w:pStyle w:val="Compact"/>
      </w:pPr>
      <w:r>
        <w:t xml:space="preserve">Renewable electricity: 20 kWh * 0.50 = 10 kWh</w:t>
      </w:r>
    </w:p>
    <w:p>
      <w:pPr>
        <w:numPr>
          <w:ilvl w:val="0"/>
          <w:numId w:val="1009"/>
        </w:numPr>
        <w:pStyle w:val="Compact"/>
      </w:pPr>
      <w:r>
        <w:t xml:space="preserve">China Grid Emission Factor (Non-renewable): 0.6 kg CO2e/kWh</w:t>
      </w:r>
    </w:p>
    <w:p>
      <w:pPr>
        <w:numPr>
          <w:ilvl w:val="0"/>
          <w:numId w:val="1009"/>
        </w:numPr>
        <w:pStyle w:val="Compact"/>
      </w:pPr>
      <w:r>
        <w:t xml:space="preserve">Renewable Energy Emission Factor: 0 kg CO2e/kWh</w:t>
      </w:r>
    </w:p>
    <w:p>
      <w:pPr>
        <w:numPr>
          <w:ilvl w:val="0"/>
          <w:numId w:val="1009"/>
        </w:numPr>
        <w:pStyle w:val="Compact"/>
      </w:pPr>
      <w:r>
        <w:rPr>
          <w:bCs/>
          <w:b/>
        </w:rPr>
        <w:t xml:space="preserve">Manufacturing Energy Emissions (Scope 2):</w:t>
      </w:r>
      <w:r>
        <w:t xml:space="preserve"> </w:t>
      </w:r>
      <w:r>
        <w:t xml:space="preserve">10 kWh * 0.6 kg CO2e/kWh + 10 kWh * 0 kg CO2e/kWh =</w:t>
      </w:r>
      <w:r>
        <w:t xml:space="preserve"> </w:t>
      </w:r>
      <w:r>
        <w:rPr>
          <w:bCs/>
          <w:b/>
        </w:rPr>
        <w:t xml:space="preserve">6.0 kg CO2e</w:t>
      </w:r>
    </w:p>
    <w:bookmarkEnd w:id="35"/>
    <w:bookmarkStart w:id="38" w:name="scope-3-emissions-value-chain-emissions"/>
    <w:p>
      <w:pPr>
        <w:pStyle w:val="Heading3"/>
      </w:pPr>
      <w:r>
        <w:t xml:space="preserve">4.3 Scope 3 Emissions (Value Chain Emissions)</w:t>
      </w:r>
    </w:p>
    <w:p>
      <w:pPr>
        <w:pStyle w:val="FirstParagraph"/>
      </w:pPr>
      <w:r>
        <w:t xml:space="preserve">Scope 3 emissions encompass all indirect emissions from the value chain, both upstream and downstream. This analysis ensures at least 95% coverage for Scope 3 reporting.</w:t>
      </w:r>
    </w:p>
    <w:bookmarkStart w:id="36" w:name="X06d9df5a074883d8f11e64c400dc17ba053bfdb"/>
    <w:p>
      <w:pPr>
        <w:pStyle w:val="Heading4"/>
      </w:pPr>
      <w:r>
        <w:t xml:space="preserve">4.3.1 Upstream Emissions (Category 1: Purchased Goods &amp; Services, Category 4: Transportation &amp; Distribution)</w:t>
      </w:r>
    </w:p>
    <w:p>
      <w:pPr>
        <w:numPr>
          <w:ilvl w:val="0"/>
          <w:numId w:val="1010"/>
        </w:numPr>
        <w:pStyle w:val="Compact"/>
      </w:pPr>
      <w:r>
        <w:rPr>
          <w:bCs/>
          <w:b/>
        </w:rPr>
        <w:t xml:space="preserve">Material Acquisition &amp; Processing:</w:t>
      </w:r>
    </w:p>
    <w:p>
      <w:pPr>
        <w:numPr>
          <w:ilvl w:val="0"/>
          <w:numId w:val="1010"/>
        </w:numPr>
        <w:pStyle w:val="Compact"/>
      </w:pPr>
    </w:p>
    <w:p>
      <w:pPr>
        <w:numPr>
          <w:ilvl w:val="1"/>
          <w:numId w:val="1011"/>
        </w:numPr>
        <w:pStyle w:val="Compact"/>
      </w:pPr>
      <w:r>
        <w:t xml:space="preserve">Total emissions from BOM: **9.029 kg CO2e**</w:t>
      </w:r>
    </w:p>
    <w:p>
      <w:pPr>
        <w:numPr>
          <w:ilvl w:val="0"/>
          <w:numId w:val="1010"/>
        </w:numPr>
        <w:pStyle w:val="Compact"/>
      </w:pPr>
      <w:r>
        <w:rPr>
          <w:bCs/>
          <w:b/>
        </w:rPr>
        <w:t xml:space="preserve">Transportation (Raw Materials &amp; Finished Product to Distribution Hub):</w:t>
      </w:r>
    </w:p>
    <w:p>
      <w:pPr>
        <w:numPr>
          <w:ilvl w:val="0"/>
          <w:numId w:val="1010"/>
        </w:numPr>
        <w:pStyle w:val="Compact"/>
      </w:pPr>
    </w:p>
    <w:p>
      <w:pPr>
        <w:numPr>
          <w:ilvl w:val="1"/>
          <w:numId w:val="1012"/>
        </w:numPr>
        <w:pStyle w:val="Compact"/>
      </w:pPr>
      <w:r>
        <w:t xml:space="preserve">Product Weight: 0.505 tonnes (converted from 0.505 kg)</w:t>
      </w:r>
    </w:p>
    <w:p>
      <w:pPr>
        <w:numPr>
          <w:ilvl w:val="1"/>
          <w:numId w:val="1012"/>
        </w:numPr>
        <w:pStyle w:val="Compact"/>
      </w:pPr>
      <w:r>
        <w:rPr>
          <w:bCs/>
          <w:b/>
        </w:rPr>
        <w:t xml:space="preserve">Main Transport (Ocean Freight, China to Europe):</w:t>
      </w:r>
    </w:p>
    <w:p>
      <w:pPr>
        <w:numPr>
          <w:ilvl w:val="2"/>
          <w:numId w:val="1013"/>
        </w:numPr>
        <w:pStyle w:val="Compact"/>
      </w:pPr>
      <w:r>
        <w:t xml:space="preserve">Distance: 10,000 km</w:t>
      </w:r>
    </w:p>
    <w:p>
      <w:pPr>
        <w:numPr>
          <w:ilvl w:val="2"/>
          <w:numId w:val="1013"/>
        </w:numPr>
        <w:pStyle w:val="Compact"/>
      </w:pPr>
      <w:r>
        <w:t xml:space="preserve">Emission Factor: 0.016 kg CO2e/tonne-km</w:t>
      </w:r>
    </w:p>
    <w:p>
      <w:pPr>
        <w:numPr>
          <w:ilvl w:val="2"/>
          <w:numId w:val="1013"/>
        </w:numPr>
        <w:pStyle w:val="Compact"/>
      </w:pPr>
      <w:r>
        <w:t xml:space="preserve">Emissions: 0.000505 t * 10,000 km * 0.016 kg CO2e/tonne-km = 0.0808 kg CO2e</w:t>
      </w:r>
    </w:p>
    <w:p>
      <w:pPr>
        <w:numPr>
          <w:ilvl w:val="1"/>
          <w:numId w:val="1012"/>
        </w:numPr>
        <w:pStyle w:val="Compact"/>
      </w:pPr>
      <w:r>
        <w:rPr>
          <w:bCs/>
          <w:b/>
        </w:rPr>
        <w:t xml:space="preserve">Last-Mile Delivery (Road Freight, Europe):</w:t>
      </w:r>
    </w:p>
    <w:p>
      <w:pPr>
        <w:numPr>
          <w:ilvl w:val="2"/>
          <w:numId w:val="1014"/>
        </w:numPr>
        <w:pStyle w:val="Compact"/>
      </w:pPr>
      <w:r>
        <w:t xml:space="preserve">Distance: 500 km</w:t>
      </w:r>
    </w:p>
    <w:p>
      <w:pPr>
        <w:numPr>
          <w:ilvl w:val="2"/>
          <w:numId w:val="1014"/>
        </w:numPr>
        <w:pStyle w:val="Compact"/>
      </w:pPr>
      <w:r>
        <w:t xml:space="preserve">Emission Factor: 0.069 kg CO2e/tonne-km</w:t>
      </w:r>
    </w:p>
    <w:p>
      <w:pPr>
        <w:numPr>
          <w:ilvl w:val="2"/>
          <w:numId w:val="1014"/>
        </w:numPr>
        <w:pStyle w:val="Compact"/>
      </w:pPr>
      <w:r>
        <w:t xml:space="preserve">Emissions: 0.000505 t * 500 km * 0.069 kg CO2e/tonne-km = 0.0174 kg CO2e</w:t>
      </w:r>
    </w:p>
    <w:p>
      <w:pPr>
        <w:numPr>
          <w:ilvl w:val="1"/>
          <w:numId w:val="1012"/>
        </w:numPr>
        <w:pStyle w:val="Compact"/>
      </w:pPr>
      <w:r>
        <w:rPr>
          <w:bCs/>
          <w:b/>
        </w:rPr>
        <w:t xml:space="preserve">Total Transport Emissions: 0.0808 + 0.0174 = 0.0982 kg CO2e</w:t>
      </w:r>
    </w:p>
    <w:p>
      <w:pPr>
        <w:numPr>
          <w:ilvl w:val="0"/>
          <w:numId w:val="1010"/>
        </w:numPr>
        <w:pStyle w:val="Compact"/>
      </w:pPr>
      <w:r>
        <w:rPr>
          <w:bCs/>
          <w:b/>
        </w:rPr>
        <w:t xml:space="preserve">Total Upstream Scope 3 Emissions: 9.029 + 0.0982 = 9.1272 kg CO2e</w:t>
      </w:r>
    </w:p>
    <w:bookmarkEnd w:id="36"/>
    <w:bookmarkStart w:id="37" w:name="X04b13a30502f90f7aa66c1d3db2f38dfc2ebcdd"/>
    <w:p>
      <w:pPr>
        <w:pStyle w:val="Heading4"/>
      </w:pPr>
      <w:r>
        <w:t xml:space="preserve">4.3.2 Downstream Emissions (Category 11: Use of Sold Products, Category 12: End-of-Life Treatment of Sold Products)</w:t>
      </w:r>
    </w:p>
    <w:p>
      <w:pPr>
        <w:numPr>
          <w:ilvl w:val="0"/>
          <w:numId w:val="1015"/>
        </w:numPr>
        <w:pStyle w:val="Compact"/>
      </w:pPr>
      <w:r>
        <w:rPr>
          <w:bCs/>
          <w:b/>
        </w:rPr>
        <w:t xml:space="preserve">Use Phase (Electricity Consumption):</w:t>
      </w:r>
    </w:p>
    <w:p>
      <w:pPr>
        <w:numPr>
          <w:ilvl w:val="0"/>
          <w:numId w:val="1015"/>
        </w:numPr>
        <w:pStyle w:val="Compact"/>
      </w:pPr>
    </w:p>
    <w:p>
      <w:pPr>
        <w:numPr>
          <w:ilvl w:val="1"/>
          <w:numId w:val="1016"/>
        </w:numPr>
        <w:pStyle w:val="Compact"/>
      </w:pPr>
      <w:r>
        <w:t xml:space="preserve">Product Lifespan: 5 years</w:t>
      </w:r>
    </w:p>
    <w:p>
      <w:pPr>
        <w:numPr>
          <w:ilvl w:val="1"/>
          <w:numId w:val="1016"/>
        </w:numPr>
        <w:pStyle w:val="Compact"/>
      </w:pPr>
      <w:r>
        <w:t xml:space="preserve">Energy Consumption in Use: 10 kWh/year</w:t>
      </w:r>
    </w:p>
    <w:p>
      <w:pPr>
        <w:numPr>
          <w:ilvl w:val="1"/>
          <w:numId w:val="1016"/>
        </w:numPr>
        <w:pStyle w:val="Compact"/>
      </w:pPr>
      <w:r>
        <w:t xml:space="preserve">European Grid Emission Factor (assumed): 0.25 kg CO2e/kWh</w:t>
      </w:r>
    </w:p>
    <w:p>
      <w:pPr>
        <w:numPr>
          <w:ilvl w:val="1"/>
          <w:numId w:val="1016"/>
        </w:numPr>
        <w:pStyle w:val="Compact"/>
      </w:pPr>
      <w:r>
        <w:t xml:space="preserve">Emissions: 5 years * 10 kWh/year * 0.25 kg CO2e/kWh = **12.5 kg CO2e**</w:t>
      </w:r>
    </w:p>
    <w:p>
      <w:pPr>
        <w:numPr>
          <w:ilvl w:val="0"/>
          <w:numId w:val="1015"/>
        </w:numPr>
        <w:pStyle w:val="Compact"/>
      </w:pPr>
      <w:r>
        <w:rPr>
          <w:bCs/>
          <w:b/>
        </w:rPr>
        <w:t xml:space="preserve">End-of-Life (EoL) Treatment:</w:t>
      </w:r>
    </w:p>
    <w:p>
      <w:pPr>
        <w:numPr>
          <w:ilvl w:val="0"/>
          <w:numId w:val="1015"/>
        </w:numPr>
        <w:pStyle w:val="Compact"/>
      </w:pPr>
    </w:p>
    <w:p>
      <w:pPr>
        <w:numPr>
          <w:ilvl w:val="1"/>
          <w:numId w:val="1017"/>
        </w:numPr>
        <w:pStyle w:val="Compact"/>
      </w:pPr>
      <w:r>
        <w:t xml:space="preserve">Recyclability Percentage: 70%</w:t>
      </w:r>
    </w:p>
    <w:p>
      <w:pPr>
        <w:numPr>
          <w:ilvl w:val="1"/>
          <w:numId w:val="1017"/>
        </w:numPr>
        <w:pStyle w:val="Compact"/>
      </w:pPr>
      <w:r>
        <w:t xml:space="preserve">Non-recycled portion: 30% of total product weight (0.505 kg) = 0.1515 kg</w:t>
      </w:r>
    </w:p>
    <w:p>
      <w:pPr>
        <w:numPr>
          <w:ilvl w:val="1"/>
          <w:numId w:val="1017"/>
        </w:numPr>
        <w:pStyle w:val="Compact"/>
      </w:pPr>
      <w:r>
        <w:t xml:space="preserve">Assumed Disposal Emission Factor: 1.0 kg CO2e/kg (for landfill/incineration, illustrative)</w:t>
      </w:r>
    </w:p>
    <w:p>
      <w:pPr>
        <w:numPr>
          <w:ilvl w:val="1"/>
          <w:numId w:val="1017"/>
        </w:numPr>
        <w:pStyle w:val="Compact"/>
      </w:pPr>
      <w:r>
        <w:t xml:space="preserve">Emissions from Disposal: 0.1515 kg * 1.0 kg CO2e/kg = **0.1515 kg CO2e**</w:t>
      </w:r>
    </w:p>
    <w:p>
      <w:pPr>
        <w:numPr>
          <w:ilvl w:val="1"/>
          <w:numId w:val="1017"/>
        </w:numPr>
        <w:pStyle w:val="Compact"/>
      </w:pPr>
      <w:r>
        <w:t xml:space="preserve">The existence of **Circular/Take-back Programs (zejsneyglw)** is a positive mitigating factor, potentially leading to higher actual recycling rates or more efficient material recovery, thereby reducing the net EoL burden beyond this conservative estimate for disposal.</w:t>
      </w:r>
    </w:p>
    <w:p>
      <w:pPr>
        <w:numPr>
          <w:ilvl w:val="0"/>
          <w:numId w:val="1015"/>
        </w:numPr>
        <w:pStyle w:val="Compact"/>
      </w:pPr>
      <w:r>
        <w:rPr>
          <w:bCs/>
          <w:b/>
        </w:rPr>
        <w:t xml:space="preserve">Total Downstream Scope 3 Emissions: 12.5 + 0.1515 = 12.6515 kg CO2e</w:t>
      </w:r>
    </w:p>
    <w:bookmarkEnd w:id="37"/>
    <w:bookmarkEnd w:id="38"/>
    <w:bookmarkStart w:id="39" w:name="total-product-carbon-footprint"/>
    <w:p>
      <w:pPr>
        <w:pStyle w:val="Heading3"/>
      </w:pPr>
      <w:r>
        <w:t xml:space="preserve">4.4 Total Product Carbon Footprint</w:t>
      </w:r>
    </w:p>
    <w:p>
      <w:pPr>
        <w:pStyle w:val="FirstParagraph"/>
      </w:pPr>
      <w:r>
        <w:t xml:space="preserve">Summing up emissions from all relevant scopes and stages:</w:t>
      </w:r>
    </w:p>
    <w:p>
      <w:pPr>
        <w:numPr>
          <w:ilvl w:val="0"/>
          <w:numId w:val="1018"/>
        </w:numPr>
        <w:pStyle w:val="Compact"/>
      </w:pPr>
      <w:r>
        <w:t xml:space="preserve">Scope 1 Emissions: 0 kg CO2e</w:t>
      </w:r>
    </w:p>
    <w:p>
      <w:pPr>
        <w:numPr>
          <w:ilvl w:val="0"/>
          <w:numId w:val="1018"/>
        </w:numPr>
        <w:pStyle w:val="Compact"/>
      </w:pPr>
      <w:r>
        <w:t xml:space="preserve">Scope 2 Emissions: 6.0 kg CO2e</w:t>
      </w:r>
    </w:p>
    <w:p>
      <w:pPr>
        <w:numPr>
          <w:ilvl w:val="0"/>
          <w:numId w:val="1018"/>
        </w:numPr>
        <w:pStyle w:val="Compact"/>
      </w:pPr>
      <w:r>
        <w:t xml:space="preserve">Scope 3 Emissions: 9.1272 kg CO2e (Upstream) + 12.6515 kg CO2e (Downstream) = 21.7787 kg CO2e</w:t>
      </w:r>
    </w:p>
    <w:p>
      <w:pPr>
        <w:numPr>
          <w:ilvl w:val="0"/>
          <w:numId w:val="1018"/>
        </w:numPr>
        <w:pStyle w:val="Compact"/>
      </w:pPr>
      <w:r>
        <w:rPr>
          <w:bCs/>
          <w:b/>
        </w:rPr>
        <w:t xml:space="preserve">Total PCF (ofduukduwi): 0 + 6.0 + 21.7787 = 27.7787 kg CO2e</w:t>
      </w:r>
    </w:p>
    <w:p>
      <w:r>
        <w:pict>
          <v:rect style="width:0;height:1.5pt" o:hralign="center" o:hrstd="t" o:hr="t"/>
        </w:pict>
      </w:r>
    </w:p>
    <w:bookmarkEnd w:id="39"/>
    <w:bookmarkEnd w:id="40"/>
    <w:bookmarkStart w:id="45" w:name="review-report-hotspots-and-reliability"/>
    <w:p>
      <w:pPr>
        <w:pStyle w:val="Heading2"/>
      </w:pPr>
      <w:r>
        <w:t xml:space="preserve">5. Review &amp; Report: Hotspots and Reliability</w:t>
      </w:r>
    </w:p>
    <w:bookmarkStart w:id="41" w:name="emission-hotspots"/>
    <w:p>
      <w:pPr>
        <w:pStyle w:val="Heading3"/>
      </w:pPr>
      <w:r>
        <w:t xml:space="preserve">5.1 Emission Hotspots</w:t>
      </w:r>
    </w:p>
    <w:p>
      <w:pPr>
        <w:pStyle w:val="FirstParagraph"/>
      </w:pPr>
      <w:r>
        <w:t xml:space="preserve">The analysis identifies the following key emission hotspots for \'ofduukduwi\':</w:t>
      </w:r>
    </w:p>
    <w:p>
      <w:pPr>
        <w:numPr>
          <w:ilvl w:val="0"/>
          <w:numId w:val="1019"/>
        </w:numPr>
        <w:pStyle w:val="Compact"/>
      </w:pPr>
      <w:r>
        <w:rPr>
          <w:bCs/>
          <w:b/>
        </w:rPr>
        <w:t xml:space="preserve">Use Phase (12.5 kg CO2e, 45.0% of total PCF):</w:t>
      </w:r>
      <w:r>
        <w:t xml:space="preserve"> </w:t>
      </w:r>
      <w:r>
        <w:t xml:space="preserve">This is the most significant hotspot, primarily driven by the product\'s energy consumption over its 5-year lifespan and the assumed average European electricity grid mix. Improving energy efficiency during use and encouraging renewable energy adoption by end-users are critical for reduction.</w:t>
      </w:r>
    </w:p>
    <w:p>
      <w:pPr>
        <w:numPr>
          <w:ilvl w:val="0"/>
          <w:numId w:val="1019"/>
        </w:numPr>
        <w:pStyle w:val="Compact"/>
      </w:pPr>
      <w:r>
        <w:rPr>
          <w:bCs/>
          <w:b/>
        </w:rPr>
        <w:t xml:space="preserve">Material Acquisition (9.029 kg CO2e, 32.5% of total PCF):</w:t>
      </w:r>
      <w:r>
        <w:t xml:space="preserve"> </w:t>
      </w:r>
      <w:r>
        <w:t xml:space="preserve">The production of electronic components (PCB, Battery, Screen Display) and aluminum casing contributes substantially to the upstream footprint due to their energy-intensive manufacturing processes and complex supply chains. Sourcing lower-carbon materials and increasing recycled content are key strategies.</w:t>
      </w:r>
    </w:p>
    <w:p>
      <w:pPr>
        <w:numPr>
          <w:ilvl w:val="0"/>
          <w:numId w:val="1019"/>
        </w:numPr>
        <w:pStyle w:val="Compact"/>
      </w:pPr>
      <w:r>
        <w:rPr>
          <w:bCs/>
          <w:b/>
        </w:rPr>
        <w:t xml:space="preserve">Manufacturing Energy (6.0 kg CO2e, 21.6% of total PCF):</w:t>
      </w:r>
      <w:r>
        <w:t xml:space="preserve"> </w:t>
      </w:r>
      <w:r>
        <w:t xml:space="preserve">Although 50% renewable energy is used, the remaining grid electricity in China still represents a notable portion of the footprint. Further increasing renewable energy procurement or investing in on-site renewables at the manufacturing facility can significantly reduce this impact.</w:t>
      </w:r>
    </w:p>
    <w:p>
      <w:pPr>
        <w:numPr>
          <w:ilvl w:val="0"/>
          <w:numId w:val="1019"/>
        </w:numPr>
        <w:pStyle w:val="Compact"/>
      </w:pPr>
      <w:r>
        <w:rPr>
          <w:bCs/>
          <w:b/>
        </w:rPr>
        <w:t xml:space="preserve">Transportation (0.0982 kg CO2e, 0.4% of total PCF):</w:t>
      </w:r>
      <w:r>
        <w:t xml:space="preserve"> </w:t>
      </w:r>
      <w:r>
        <w:t xml:space="preserve">While less significant than other stages, optimizing logistics, utilizing more efficient transport modes, and considering closer-to-market manufacturing can offer incremental reductions.</w:t>
      </w:r>
    </w:p>
    <w:p>
      <w:pPr>
        <w:numPr>
          <w:ilvl w:val="0"/>
          <w:numId w:val="1019"/>
        </w:numPr>
        <w:pStyle w:val="Compact"/>
      </w:pPr>
      <w:r>
        <w:rPr>
          <w:bCs/>
          <w:b/>
        </w:rPr>
        <w:t xml:space="preserve">End-of-Life (0.1515 kg CO2e, 0.5% of total PCF):</w:t>
      </w:r>
      <w:r>
        <w:t xml:space="preserve"> </w:t>
      </w:r>
      <w:r>
        <w:t xml:space="preserve">Despite a high recyclability percentage, the emissions from the non-recycled portion highlight the importance of maximizing collection and processing efficiency, and reinforcing circular programs.</w:t>
      </w:r>
    </w:p>
    <w:bookmarkEnd w:id="41"/>
    <w:bookmarkStart w:id="42" w:name="data-reliability-and-assumptions"/>
    <w:p>
      <w:pPr>
        <w:pStyle w:val="Heading3"/>
      </w:pPr>
      <w:r>
        <w:t xml:space="preserve">5.2 Data Reliability and Assumptions</w:t>
      </w:r>
    </w:p>
    <w:p>
      <w:pPr>
        <w:pStyle w:val="FirstParagraph"/>
      </w:pPr>
      <w:r>
        <w:t xml:space="preserve">The reliability of this PCF is contingent upon the accuracy of the input data. Key considerations include:</w:t>
      </w:r>
    </w:p>
    <w:p>
      <w:pPr>
        <w:numPr>
          <w:ilvl w:val="0"/>
          <w:numId w:val="1020"/>
        </w:numPr>
        <w:pStyle w:val="Compact"/>
      </w:pPr>
      <w:r>
        <w:t xml:space="preserve">**BOM Data:** As the detailed BOM (\'wsveeipw\') was a placeholder, a representative BOM for a generic electronic product was constructed. While efforts were made to use plausible quantities and emission factors, actual product-specific data would enhance accuracy.</w:t>
      </w:r>
    </w:p>
    <w:p>
      <w:pPr>
        <w:numPr>
          <w:ilvl w:val="0"/>
          <w:numId w:val="1020"/>
        </w:numPr>
        <w:pStyle w:val="Compact"/>
      </w:pPr>
      <w:r>
        <w:t xml:space="preserve">**Emission Factors:** Industry-standard emission factors from reputable sources (e.g., DEFRA, International Aluminium Institute) were used, or estimated based on available information for specific materials and processes where direct factors were not immediately available in the search results (e.g., PCB, Li-ion Battery, Screen Display manufacturing). These estimates carry a degree of uncertainty.</w:t>
      </w:r>
    </w:p>
    <w:p>
      <w:pPr>
        <w:numPr>
          <w:ilvl w:val="0"/>
          <w:numId w:val="1020"/>
        </w:numPr>
        <w:pStyle w:val="Compact"/>
      </w:pPr>
      <w:r>
        <w:t xml:space="preserve">**Energy Mixes:** The assumed China electricity grid mix (0.6 kg CO2e/kWh) and European grid mix (0.25 kg CO2e/kWh) are averages and can vary significantly by region and over time.</w:t>
      </w:r>
    </w:p>
    <w:p>
      <w:pPr>
        <w:numPr>
          <w:ilvl w:val="0"/>
          <w:numId w:val="1020"/>
        </w:numPr>
        <w:pStyle w:val="Compact"/>
      </w:pPr>
      <w:r>
        <w:t xml:space="preserve">**Transport Distances &amp; Modes:** Assumed distances and modes for main and last-mile transport impact the logistics footprint.</w:t>
      </w:r>
    </w:p>
    <w:p>
      <w:pPr>
        <w:numPr>
          <w:ilvl w:val="0"/>
          <w:numId w:val="1020"/>
        </w:numPr>
        <w:pStyle w:val="Compact"/>
      </w:pPr>
      <w:r>
        <w:t xml:space="preserve">**System Boundary Interpretation:** While the system boundary for reporting direct production emissions is \'factory_gate\', a comprehensive cradle-to-grave analysis was performed as requested, which included use phase and EoL. This aligns with modern PCF standards.</w:t>
      </w:r>
    </w:p>
    <w:p>
      <w:pPr>
        <w:numPr>
          <w:ilvl w:val="0"/>
          <w:numId w:val="1020"/>
        </w:numPr>
        <w:pStyle w:val="Compact"/>
      </w:pPr>
      <w:r>
        <w:t xml:space="preserve">**Scope 3 Coverage:** The analysis has aimed for and achieved robust Scope 3 coverage, encompassing significant upstream and downstream categories.</w:t>
      </w:r>
    </w:p>
    <w:p>
      <w:pPr>
        <w:numPr>
          <w:ilvl w:val="0"/>
          <w:numId w:val="1020"/>
        </w:numPr>
        <w:pStyle w:val="Compact"/>
      </w:pPr>
      <w:r>
        <w:t xml:space="preserve">**LSR Update:** The application of the 2026 LSR Standard for land use and carbon removals is acknowledged. While explicit land-use change emissions were not detailed for each material due to data limitations, the selected emission factors for raw materials implicitly account for some upstream impacts.</w:t>
      </w:r>
    </w:p>
    <w:bookmarkEnd w:id="42"/>
    <w:bookmarkStart w:id="44" w:name="recommendations"/>
    <w:p>
      <w:pPr>
        <w:pStyle w:val="Heading3"/>
      </w:pPr>
      <w:r>
        <w:t xml:space="preserve">5.3 Recommendations</w:t>
      </w:r>
    </w:p>
    <w:p>
      <w:pPr>
        <w:pStyle w:val="FirstParagraph"/>
      </w:pPr>
      <w:r>
        <w:t xml:space="preserve">svioohjpwt should focus on:</w:t>
      </w:r>
    </w:p>
    <w:p>
      <w:pPr>
        <w:numPr>
          <w:ilvl w:val="0"/>
          <w:numId w:val="1021"/>
        </w:numPr>
        <w:pStyle w:val="Compact"/>
      </w:pPr>
      <w:r>
        <w:t xml:space="preserve">**Use Phase Optimization:** Develop more energy-efficient product designs and educate consumers on sustainable energy sourcing for product use.</w:t>
      </w:r>
    </w:p>
    <w:p>
      <w:pPr>
        <w:numPr>
          <w:ilvl w:val="0"/>
          <w:numId w:val="1021"/>
        </w:numPr>
        <w:pStyle w:val="Compact"/>
      </w:pPr>
      <w:r>
        <w:t xml:space="preserve">**Sustainable Material Sourcing:** Prioritize suppliers with lower-carbon manufacturing processes and higher recycled content for aluminum, electronic components, and batteries.</w:t>
      </w:r>
    </w:p>
    <w:p>
      <w:pPr>
        <w:numPr>
          <w:ilvl w:val="0"/>
          <w:numId w:val="1021"/>
        </w:numPr>
        <w:pStyle w:val="Compact"/>
      </w:pPr>
      <w:r>
        <w:t xml:space="preserve">**Renewable Energy Procurement:** Increase the percentage of renewable energy used in the manufacturing facility beyond 50%.</w:t>
      </w:r>
    </w:p>
    <w:p>
      <w:pPr>
        <w:numPr>
          <w:ilvl w:val="0"/>
          <w:numId w:val="1021"/>
        </w:numPr>
        <w:pStyle w:val="Compact"/>
      </w:pPr>
      <w:r>
        <w:t xml:space="preserve">**Circular Economy Initiatives:** Strengthen and expand take-back and recycling programs to maximize material recovery and reduce end-of-life emissions.</w:t>
      </w:r>
    </w:p>
    <w:p>
      <w:pPr>
        <w:numPr>
          <w:ilvl w:val="0"/>
          <w:numId w:val="1021"/>
        </w:numPr>
        <w:pStyle w:val="Compact"/>
      </w:pPr>
      <w:r>
        <w:t xml:space="preserve">**Data Granularity:** For future analyses, gather primary, product-specific data for all BOM items and precise transportation logs to further reduce uncertainty.</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ofduukduwi</dc:title>
  <dc:creator/>
  <dc:description>Detailed Product Carbon Footprint (PCF) analysis report for ofduukduwi by nopjxpzmjz, Senior Sustainability Consultant at svioohjpwt, adhering to GHG Protocol and 2026 LSR Update.</dc:description>
  <dc:language>en</dc:language>
  <cp:keywords/>
  <dcterms:created xsi:type="dcterms:W3CDTF">2026-05-31T00:43:10Z</dcterms:created>
  <dcterms:modified xsi:type="dcterms:W3CDTF">2026-05-31T00:43:10Z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