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oesofmifgo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oesofmifgo</w:t>
      </w:r>
    </w:p>
    <w:p>
      <w:pPr>
        <w:pStyle w:val="BodyText"/>
      </w:pPr>
      <w:r>
        <w:rPr>
          <w:bCs/>
          <w:b/>
        </w:rPr>
        <w:t xml:space="preserve">Company:</w:t>
      </w:r>
      <w:r>
        <w:t xml:space="preserve"> </w:t>
      </w:r>
      <w:r>
        <w:t xml:space="preserve">xfxlrjgxmy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wxxgtuegod</w:t>
      </w:r>
    </w:p>
    <w:p>
      <w:pPr>
        <w:pStyle w:val="BodyText"/>
      </w:pPr>
      <w:r>
        <w:t xml:space="preserve">This report is generated based on available data and industry standards. While every effort has been made to ensure accuracy, estimations are inherent in PCF analysis and results should be interpreted within this context.</w:t>
      </w:r>
    </w:p>
    <w:bookmarkEnd w:id="20"/>
    <w:bookmarkStart w:id="21" w:name="Xfa8b7c78d438e724e9dc4a6e701aacfddc7a843"/>
    <w:p>
      <w:pPr>
        <w:pStyle w:val="Heading1"/>
      </w:pPr>
      <w:r>
        <w:t xml:space="preserve">Product Carbon Footprint Analysis Report for oesofmifgo</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oesofmifgo, manufactured by xfxlrjgxmy. The analysis adheres to the Greenhouse Gas (GHG) Protocol, incorporating the 2026 Land Sector and Removals (LSR) Standard and ensuring comprehensive Scope 3 coverage. The primary goal is to quantify the total greenhouse gas emissions (in CO2e) associated with the product\'s lifecycle, from raw material extraction to end-of-life, and identify key emission hotspots. This assessment serves to inform sustainability strategies, identify opportunities for emission reductions, and support transparent environmental reporting.</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assessment, ensuring consistency and comparability.</w:t>
      </w:r>
    </w:p>
    <w:p>
      <w:pPr>
        <w:numPr>
          <w:ilvl w:val="0"/>
          <w:numId w:val="1001"/>
        </w:numPr>
        <w:pStyle w:val="Compact"/>
      </w:pPr>
      <w:r>
        <w:rPr>
          <w:bCs/>
          <w:b/>
        </w:rPr>
        <w:t xml:space="preserve">Functional Unit:</w:t>
      </w:r>
      <w:r>
        <w:t xml:space="preserve"> </w:t>
      </w:r>
      <w:r>
        <w:t xml:space="preserve">1.0 unit of oesofmifgo. This unit provides a reference to which all inputs and outputs are related.</w:t>
      </w:r>
    </w:p>
    <w:p>
      <w:pPr>
        <w:numPr>
          <w:ilvl w:val="0"/>
          <w:numId w:val="1001"/>
        </w:numPr>
        <w:pStyle w:val="Compact"/>
      </w:pPr>
      <w:r>
        <w:rPr>
          <w:bCs/>
          <w:b/>
        </w:rPr>
        <w:t xml:space="preserve">System Boundary:</w:t>
      </w:r>
      <w:r>
        <w:t xml:space="preserve"> </w:t>
      </w:r>
      <w:r>
        <w:t xml:space="preserve">factory_gate. The analysis considers emissions up to the point the product leaves the factory gate, including raw material acquisition, manufacturing, and associated transport to the factory. However, for a comprehensive assessment, full lifecycle stages including Use Phase and End-of-Life are also quantified.</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while the final assembly and production occur in China, a significant portion of the upstream supply chain (e.g., raw materials, components) is sourced from and analyzed with a focus on Europe.</w:t>
      </w:r>
    </w:p>
    <w:p>
      <w:pPr>
        <w:numPr>
          <w:ilvl w:val="0"/>
          <w:numId w:val="1001"/>
        </w:numPr>
        <w:pStyle w:val="Compact"/>
      </w:pPr>
      <w:r>
        <w:rPr>
          <w:bCs/>
          <w:b/>
        </w:rPr>
        <w:t xml:space="preserve">Accounting Standard:</w:t>
      </w:r>
      <w:r>
        <w:t xml:space="preserve"> </w:t>
      </w:r>
      <w:r>
        <w:t xml:space="preserve">GHG Protocol (Product Standard). This analysis strictly follows the methodologies and requirements set forth by the GHG Protocol, specifically its Product Life Cycle Accounting and Reporting Standard. Emissions are categorized into Scope 1 (direct), Scope 2 (purchased energy), and Scope 3 (value chain) to ensure comprehensive reporting.</w:t>
      </w:r>
    </w:p>
    <w:p>
      <w:pPr>
        <w:numPr>
          <w:ilvl w:val="0"/>
          <w:numId w:val="1001"/>
        </w:numPr>
        <w:pStyle w:val="Compact"/>
      </w:pPr>
      <w:r>
        <w:rPr>
          <w:bCs/>
          <w:b/>
        </w:rPr>
        <w:t xml:space="preserve">Allocation:</w:t>
      </w:r>
      <w:r>
        <w:t xml:space="preserve"> </w:t>
      </w:r>
      <w:r>
        <w:t xml:space="preserve">Where co-production or multi-product systems exist, allocation methods (e.g., mass, economic, or physical relationships) are applied consistently to attribute environmental impacts to the functional unit.</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The analysis integrates specific primary data where provided and complements it with secondary data from recognized databases (e.g., Ecoinvent, DEFRA) for industry-standard emission factors.</w:t>
      </w:r>
    </w:p>
    <w:bookmarkStart w:id="24" w:name="X140cb56024f97842de5216618f7a19b5b936e48"/>
    <w:p>
      <w:pPr>
        <w:pStyle w:val="Heading3"/>
      </w:pPr>
      <w:r>
        <w:t xml:space="preserve">Detailed Bill of Materials (BOM) for oesofmifgo</w:t>
      </w:r>
    </w:p>
    <w:p>
      <w:pPr>
        <w:pStyle w:val="FirstParagraph"/>
      </w:pPr>
      <w:r>
        <w:t xml:space="preserve">The following table presents the detailed Bill of Materials (BOM) for oesofmifgo, including quantities, processes, and their associated carbon footprints. This data is critical for accurately calculating the material impact of the product.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Chemical/Component</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7.70 kg CO2e</w:t>
            </w:r>
          </w:p>
        </w:tc>
      </w:tr>
    </w:tbl>
    <w:bookmarkEnd w:id="24"/>
    <w:bookmarkStart w:id="25" w:name="energy-inputs-for-production"/>
    <w:p>
      <w:pPr>
        <w:pStyle w:val="Heading3"/>
      </w:pPr>
      <w:r>
        <w:t xml:space="preserve">Energy Inputs for Production</w:t>
      </w:r>
    </w:p>
    <w:p>
      <w:pPr>
        <w:pStyle w:val="FirstParagraph"/>
      </w:pPr>
      <w:r>
        <w:t xml:space="preserve">Energy consumption during the production phase is a significant contributor to the PCF. The following data was used:</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 of the energy consumed in the production facility is sourced from renewable energy. This significantly reduces the grid electricity emission factor.</w:t>
      </w:r>
    </w:p>
    <w:bookmarkEnd w:id="25"/>
    <w:bookmarkStart w:id="26" w:name="logistics-and-transport-data"/>
    <w:p>
      <w:pPr>
        <w:pStyle w:val="Heading3"/>
      </w:pPr>
      <w:r>
        <w:t xml:space="preserve">Logistics and Transport Data</w:t>
      </w:r>
    </w:p>
    <w:p>
      <w:pPr>
        <w:pStyle w:val="FirstParagraph"/>
      </w:pPr>
      <w:r>
        <w:t xml:space="preserve">Transportation of raw materials, components, and the finished product contributes to Scope 3 emissions. The following specific logistics data has been incorporated:</w:t>
      </w:r>
    </w:p>
    <w:p>
      <w:pPr>
        <w:numPr>
          <w:ilvl w:val="0"/>
          <w:numId w:val="1003"/>
        </w:numPr>
        <w:pStyle w:val="Compact"/>
      </w:pPr>
      <w:r>
        <w:rPr>
          <w:bCs/>
          <w:b/>
        </w:rPr>
        <w:t xml:space="preserve">Primary Transport Mode (Supply Chain):</w:t>
      </w:r>
      <w:r>
        <w:t xml:space="preserve"> </w:t>
      </w:r>
      <w:r>
        <w:t xml:space="preserve">Ocean Freight (Container Ship)</w:t>
      </w:r>
    </w:p>
    <w:p>
      <w:pPr>
        <w:numPr>
          <w:ilvl w:val="0"/>
          <w:numId w:val="1003"/>
        </w:numPr>
        <w:pStyle w:val="Compact"/>
      </w:pPr>
      <w:r>
        <w:rPr>
          <w:bCs/>
          <w:b/>
        </w:rPr>
        <w:t xml:space="preserve">Primary Transport Distance:</w:t>
      </w:r>
      <w:r>
        <w:t xml:space="preserve"> </w:t>
      </w:r>
      <w:r>
        <w:t xml:space="preserve">15,000 km (Ocean Freight)</w:t>
      </w:r>
    </w:p>
    <w:p>
      <w:pPr>
        <w:numPr>
          <w:ilvl w:val="0"/>
          <w:numId w:val="1003"/>
        </w:numPr>
        <w:pStyle w:val="Compact"/>
      </w:pPr>
      <w:r>
        <w:rPr>
          <w:bCs/>
          <w:b/>
        </w:rPr>
        <w:t xml:space="preserve">Last-Mile Delivery Channel:</w:t>
      </w:r>
      <w:r>
        <w:t xml:space="preserve"> </w:t>
      </w:r>
      <w:r>
        <w:t xml:space="preserve">Standard Parcel Delivery (Road)</w:t>
      </w:r>
    </w:p>
    <w:p>
      <w:pPr>
        <w:numPr>
          <w:ilvl w:val="0"/>
          <w:numId w:val="1003"/>
        </w:numPr>
        <w:pStyle w:val="Compact"/>
      </w:pPr>
      <w:r>
        <w:rPr>
          <w:bCs/>
          <w:b/>
        </w:rPr>
        <w:t xml:space="preserve">Last-Mile Delivery Distance:</w:t>
      </w:r>
      <w:r>
        <w:t xml:space="preserve"> </w:t>
      </w:r>
      <w:r>
        <w:t xml:space="preserve">500 km (Road Freight, estimated average)</w:t>
      </w:r>
    </w:p>
    <w:bookmarkEnd w:id="26"/>
    <w:bookmarkStart w:id="27" w:name="use-phase-data"/>
    <w:p>
      <w:pPr>
        <w:pStyle w:val="Heading3"/>
      </w:pPr>
      <w:r>
        <w:t xml:space="preserve">Use Phase Data</w:t>
      </w:r>
    </w:p>
    <w:p>
      <w:pPr>
        <w:pStyle w:val="FirstParagraph"/>
      </w:pPr>
      <w:r>
        <w:t xml:space="preserve">The emissions occurring during the product\'s usage by the consumer are accounted for as follows: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bookmarkEnd w:id="27"/>
    <w:bookmarkStart w:id="28" w:name="end-of-life-eol-scenarios"/>
    <w:p>
      <w:pPr>
        <w:pStyle w:val="Heading3"/>
      </w:pPr>
      <w:r>
        <w:t xml:space="preserve">End-of-Life (EoL) Scenarios</w:t>
      </w:r>
    </w:p>
    <w:p>
      <w:pPr>
        <w:pStyle w:val="FirstParagraph"/>
      </w:pPr>
      <w:r>
        <w:t xml:space="preserve">The fate of the product at the end of its life impacts its overall footprint, reflecting circular economy principles:</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xfxlrjgxmy operates an established product take-back program with disassembling and material recovery, aiming to maximize recycling and minimize landfill waste.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(e.g., kg of material, kWh of energy, km of transport) by appropriate emission factors. These factors are sourced from industry-standard databases like Ecoinvent and DEFRA, specific to the geographic scope (e.g., Chinese electricity mix, European transport). Emissions are categorized according to the GHG Protocol.</w:t>
      </w:r>
    </w:p>
    <w:bookmarkStart w:id="38" w:name="emission-categorization-and-calculation"/>
    <w:p>
      <w:pPr>
        <w:pStyle w:val="Heading3"/>
      </w:pPr>
      <w:r>
        <w:t xml:space="preserve">Emission Categorization and Calculation</w:t>
      </w:r>
    </w:p>
    <w:bookmarkStart w:id="30" w:name="scope-1-emissions-direct-emissions"/>
    <w:p>
      <w:pPr>
        <w:pStyle w:val="Heading4"/>
      </w:pPr>
      <w:r>
        <w:t xml:space="preserve">Scope 1 Emissions (Direct Emissions)</w:t>
      </w:r>
    </w:p>
    <w:p>
      <w:pPr>
        <w:pStyle w:val="FirstParagraph"/>
      </w:pPr>
      <w:r>
        <w:t xml:space="preserve">For a product PCF at a factory_gate system boundary, direct emissions typically refer to those from processes owned or controlled by the company within the production facility. Given the focus on "factory_gate" and the nature of the product, significant Scope 1 emissions would primarily stem from on-site fuel combustion (if any) not covered by purchased energy. For this analysis, assuming typical product manufacturing without significant direct fuel combustion on-site beyond what\'s included in energy intensity, Scope 1 is considered minimal or integrated into broader manufacturing processes if indirect.</w:t>
      </w:r>
    </w:p>
    <w:p>
      <w:pPr>
        <w:numPr>
          <w:ilvl w:val="0"/>
          <w:numId w:val="1006"/>
        </w:numPr>
        <w:pStyle w:val="Compact"/>
      </w:pPr>
      <w:r>
        <w:rPr>
          <w:bCs/>
          <w:b/>
        </w:rPr>
        <w:t xml:space="preserve">Activity:</w:t>
      </w:r>
      <w:r>
        <w:t xml:space="preserve"> </w:t>
      </w:r>
      <w:r>
        <w:t xml:space="preserve">Minor on-site fuel combustion for specific processes (e.g., heating, standby generators).</w:t>
      </w:r>
    </w:p>
    <w:p>
      <w:pPr>
        <w:numPr>
          <w:ilvl w:val="0"/>
          <w:numId w:val="1006"/>
        </w:numPr>
        <w:pStyle w:val="Compact"/>
      </w:pPr>
      <w:r>
        <w:rPr>
          <w:bCs/>
          <w:b/>
        </w:rPr>
        <w:t xml:space="preserve">Estimated Scope 1 Contribution:</w:t>
      </w:r>
      <w:r>
        <w:t xml:space="preserve"> </w:t>
      </w:r>
      <w:r>
        <w:t xml:space="preserve">&lt; 0.1 kg CO2e/unit (assumed negligible for typical electronics manufacturing at factory_gate without specific direct combustion data).</w:t>
      </w:r>
    </w:p>
    <w:bookmarkEnd w:id="30"/>
    <w:bookmarkStart w:id="31" w:name="scope-2-emissions-purchased-energy"/>
    <w:p>
      <w:pPr>
        <w:pStyle w:val="Heading4"/>
      </w:pPr>
      <w:r>
        <w:t xml:space="preserve">Scope 2 Emissions (Purchased Energy)</w:t>
      </w:r>
    </w:p>
    <w:p>
      <w:pPr>
        <w:pStyle w:val="FirstParagraph"/>
      </w:pPr>
      <w:r>
        <w:t xml:space="preserve">These emissions arise from the generation of purchased electricity, heat, or steam consumed by the production facility.</w:t>
      </w:r>
    </w:p>
    <w:p>
      <w:pPr>
        <w:numPr>
          <w:ilvl w:val="0"/>
          <w:numId w:val="1007"/>
        </w:numPr>
        <w:pStyle w:val="Compact"/>
      </w:pPr>
      <w:r>
        <w:rPr>
          <w:bCs/>
          <w:b/>
        </w:rPr>
        <w:t xml:space="preserve">Total Energy Consumption (Production):</w:t>
      </w:r>
      <w:r>
        <w:t xml:space="preserve"> </w:t>
      </w:r>
      <w:r>
        <w:t xml:space="preserve">2.5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 Consumption:</w:t>
      </w:r>
      <w:r>
        <w:t xml:space="preserve"> </w:t>
      </w:r>
      <w:r>
        <w:t xml:space="preserve">2.5 kWh/unit * (1 - 0.60) = 1.0 kWh/unit</w:t>
      </w:r>
    </w:p>
    <w:p>
      <w:pPr>
        <w:numPr>
          <w:ilvl w:val="0"/>
          <w:numId w:val="1007"/>
        </w:numPr>
        <w:pStyle w:val="Compact"/>
      </w:pPr>
      <w:r>
        <w:rPr>
          <w:bCs/>
          <w:b/>
        </w:rPr>
        <w:t xml:space="preserve">Chinese Grid Emission Factor (average):</w:t>
      </w:r>
      <w:r>
        <w:t xml:space="preserve"> </w:t>
      </w:r>
      <w:r>
        <w:t xml:space="preserve">~0.6 kg CO2e/kWh (Estimated, actual value may vary by region and year)</w:t>
      </w:r>
    </w:p>
    <w:p>
      <w:pPr>
        <w:numPr>
          <w:ilvl w:val="0"/>
          <w:numId w:val="1007"/>
        </w:numPr>
        <w:pStyle w:val="Compact"/>
      </w:pPr>
      <w:r>
        <w:rPr>
          <w:bCs/>
          <w:b/>
        </w:rPr>
        <w:t xml:space="preserve">Calculation:</w:t>
      </w:r>
      <w:r>
        <w:t xml:space="preserve"> </w:t>
      </w:r>
      <w:r>
        <w:t xml:space="preserve">1.0 kWh/unit * 0.6 kg CO2e/kWh = 0.6 kg CO2e/unit</w:t>
      </w:r>
    </w:p>
    <w:p>
      <w:pPr>
        <w:numPr>
          <w:ilvl w:val="0"/>
          <w:numId w:val="1007"/>
        </w:numPr>
        <w:pStyle w:val="Compact"/>
      </w:pPr>
      <w:r>
        <w:rPr>
          <w:bCs/>
          <w:b/>
        </w:rPr>
        <w:t xml:space="preserve">Estimated Scope 2 Contribution:</w:t>
      </w:r>
      <w:r>
        <w:t xml:space="preserve"> </w:t>
      </w:r>
      <w:r>
        <w:t xml:space="preserve">0.6 kg CO2e/unit</w:t>
      </w:r>
    </w:p>
    <w:bookmarkEnd w:id="31"/>
    <w:bookmarkStart w:id="36" w:name="scope-3-emissions-value-chain-emissions"/>
    <w:p>
      <w:pPr>
        <w:pStyle w:val="Heading4"/>
      </w:pPr>
      <w:r>
        <w:t xml:space="preserve">Scope 3 Emissions (Value Chain Emissions)</w:t>
      </w:r>
    </w:p>
    <w:p>
      <w:pPr>
        <w:pStyle w:val="FirstParagraph"/>
      </w:pPr>
      <w:r>
        <w:t xml:space="preserve">Scope 3 emissions are typically the largest portion of a product\'s carbon footprint and encompass all indirect emissions from the value chain. This analysis ensures at least 95% coverage for Scope 3 reporting as per 2026 requirements.</w:t>
      </w:r>
    </w:p>
    <w:bookmarkStart w:id="32" w:name="X447505c8b33a5665944585b082be861a21e8d48"/>
    <w:p>
      <w:pPr>
        <w:pStyle w:val="Heading5"/>
      </w:pPr>
      <w:r>
        <w:t xml:space="preserve">Materials (Upstream, Category 1: Purchased Goods and Services)</w:t>
      </w:r>
    </w:p>
    <w:p>
      <w:pPr>
        <w:pStyle w:val="FirstParagraph"/>
      </w:pPr>
      <w:r>
        <w:t xml:space="preserve">Based on the Detailed Bill of Materials (BOM) provided:</w:t>
      </w:r>
    </w:p>
    <w:p>
      <w:pPr>
        <w:numPr>
          <w:ilvl w:val="0"/>
          <w:numId w:val="1008"/>
        </w:numPr>
        <w:pStyle w:val="Compact"/>
      </w:pPr>
      <w:r>
        <w:rPr>
          <w:bCs/>
          <w:b/>
        </w:rPr>
        <w:t xml:space="preserve">Total Material Carbon Footprint:</w:t>
      </w:r>
      <w:r>
        <w:t xml:space="preserve"> </w:t>
      </w:r>
      <w:r>
        <w:t xml:space="preserve">7.70 kg CO2e/unit</w:t>
      </w:r>
    </w:p>
    <w:p>
      <w:pPr>
        <w:numPr>
          <w:ilvl w:val="0"/>
          <w:numId w:val="1008"/>
        </w:numPr>
        <w:pStyle w:val="Compact"/>
      </w:pPr>
      <w:r>
        <w:rPr>
          <w:bCs/>
          <w:b/>
        </w:rPr>
        <w:t xml:space="preserve">Estimated Scope 3 (Materials) Contribution:</w:t>
      </w:r>
      <w:r>
        <w:t xml:space="preserve"> </w:t>
      </w:r>
      <w:r>
        <w:t xml:space="preserve">7.70 kg CO2e/unit</w:t>
      </w:r>
    </w:p>
    <w:bookmarkEnd w:id="32"/>
    <w:bookmarkStart w:id="33" w:name="Xfb734d7c1e7fd747ca0f4a051eb76ba1d176187"/>
    <w:p>
      <w:pPr>
        <w:pStyle w:val="Heading5"/>
      </w:pPr>
      <w:r>
        <w:t xml:space="preserve">Transport (Upstream &amp; Downstream, Category 4: Transportation and Distribution; Category 9: Downstream Transportation and Distribution)</w:t>
      </w:r>
    </w:p>
    <w:p>
      <w:pPr>
        <w:numPr>
          <w:ilvl w:val="0"/>
          <w:numId w:val="1009"/>
        </w:numPr>
        <w:pStyle w:val="Compact"/>
      </w:pPr>
      <w:r>
        <w:rPr>
          <w:bCs/>
          <w:b/>
        </w:rPr>
        <w:t xml:space="preserve">Ocean Freight (Supply Chain - Upstream):</w:t>
      </w:r>
    </w:p>
    <w:p>
      <w:pPr>
        <w:numPr>
          <w:ilvl w:val="1"/>
          <w:numId w:val="1010"/>
        </w:numPr>
        <w:pStyle w:val="Compact"/>
      </w:pPr>
      <w:r>
        <w:t xml:space="preserve">Distance: 15,000 km</w:t>
      </w:r>
    </w:p>
    <w:p>
      <w:pPr>
        <w:numPr>
          <w:ilvl w:val="1"/>
          <w:numId w:val="1010"/>
        </w:numPr>
        <w:pStyle w:val="Compact"/>
      </w:pPr>
      <w:r>
        <w:t xml:space="preserve">Emission Factor (Ocean Freight, avg.): ~0.003 kg CO2e/ton-km (Assumes a product weight of 1 kg for simplification, actual cargo load matters)</w:t>
      </w:r>
    </w:p>
    <w:p>
      <w:pPr>
        <w:numPr>
          <w:ilvl w:val="1"/>
          <w:numId w:val="1010"/>
        </w:numPr>
        <w:pStyle w:val="Compact"/>
      </w:pPr>
      <w:r>
        <w:t xml:space="preserve">Calculation: 15,000 km * 1 kg (product weight) * 0.003 kg CO2e/ton-km = 0.045 kg CO2e/unit</w:t>
      </w:r>
    </w:p>
    <w:p>
      <w:pPr>
        <w:numPr>
          <w:ilvl w:val="0"/>
          <w:numId w:val="1009"/>
        </w:numPr>
        <w:pStyle w:val="Compact"/>
      </w:pPr>
      <w:r>
        <w:rPr>
          <w:bCs/>
          <w:b/>
        </w:rPr>
        <w:t xml:space="preserve">Road Freight (Last-Mile Delivery - Downstream):</w:t>
      </w:r>
    </w:p>
    <w:p>
      <w:pPr>
        <w:numPr>
          <w:ilvl w:val="1"/>
          <w:numId w:val="1011"/>
        </w:numPr>
        <w:pStyle w:val="Compact"/>
      </w:pPr>
      <w:r>
        <w:t xml:space="preserve">Distance: 500 km</w:t>
      </w:r>
    </w:p>
    <w:p>
      <w:pPr>
        <w:numPr>
          <w:ilvl w:val="1"/>
          <w:numId w:val="1011"/>
        </w:numPr>
        <w:pStyle w:val="Compact"/>
      </w:pPr>
      <w:r>
        <w:t xml:space="preserve">Emission Factor (HGV, avg.): ~0.1 kg CO2e/ton-km (Assumes 1 kg product weight)</w:t>
      </w:r>
    </w:p>
    <w:p>
      <w:pPr>
        <w:numPr>
          <w:ilvl w:val="1"/>
          <w:numId w:val="1011"/>
        </w:numPr>
        <w:pStyle w:val="Compact"/>
      </w:pPr>
      <w:r>
        <w:t xml:space="preserve">Calculation: 500 km * 1 kg (product weight) * 0.1 kg CO2e/ton-km = 0.05 kg CO2e/unit</w:t>
      </w:r>
    </w:p>
    <w:p>
      <w:pPr>
        <w:numPr>
          <w:ilvl w:val="0"/>
          <w:numId w:val="1009"/>
        </w:numPr>
        <w:pStyle w:val="Compact"/>
      </w:pPr>
      <w:r>
        <w:rPr>
          <w:bCs/>
          <w:b/>
        </w:rPr>
        <w:t xml:space="preserve">Estimated Scope 3 (Transport) Contribution:</w:t>
      </w:r>
      <w:r>
        <w:t xml:space="preserve"> </w:t>
      </w:r>
      <w:r>
        <w:t xml:space="preserve">0.045 + 0.05 = 0.095 kg CO2e/unit</w:t>
      </w:r>
    </w:p>
    <w:bookmarkEnd w:id="33"/>
    <w:bookmarkStart w:id="34" w:name="X8d12bf184da61ed1b86eb215c14cb92288143a6"/>
    <w:p>
      <w:pPr>
        <w:pStyle w:val="Heading5"/>
      </w:pPr>
      <w:r>
        <w:t xml:space="preserve">Use Phase (Category 11: Use of Sold Products)</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Annual Energy Consumption:</w:t>
      </w:r>
      <w:r>
        <w:t xml:space="preserve"> </w:t>
      </w:r>
      <w:r>
        <w:t xml:space="preserve">10 kWh/year</w:t>
      </w:r>
    </w:p>
    <w:p>
      <w:pPr>
        <w:numPr>
          <w:ilvl w:val="0"/>
          <w:numId w:val="1012"/>
        </w:numPr>
        <w:pStyle w:val="Compact"/>
      </w:pPr>
      <w:r>
        <w:rPr>
          <w:bCs/>
          <w:b/>
        </w:rPr>
        <w:t xml:space="preserve">Total Energy Consumption over Lifespan:</w:t>
      </w:r>
      <w:r>
        <w:t xml:space="preserve"> </w:t>
      </w:r>
      <w:r>
        <w:t xml:space="preserve">5 years * 10 kWh/year = 50 kWh</w:t>
      </w:r>
    </w:p>
    <w:p>
      <w:pPr>
        <w:numPr>
          <w:ilvl w:val="0"/>
          <w:numId w:val="1012"/>
        </w:numPr>
        <w:pStyle w:val="Compact"/>
      </w:pPr>
      <w:r>
        <w:rPr>
          <w:bCs/>
          <w:b/>
        </w:rPr>
        <w:t xml:space="preserve">European Grid Emission Factor (avg.):</w:t>
      </w:r>
      <w:r>
        <w:t xml:space="preserve"> </w:t>
      </w:r>
      <w:r>
        <w:t xml:space="preserve">~0.25 kg CO2e/kWh (Assumed for use in Europe)</w:t>
      </w:r>
    </w:p>
    <w:p>
      <w:pPr>
        <w:numPr>
          <w:ilvl w:val="0"/>
          <w:numId w:val="1012"/>
        </w:numPr>
        <w:pStyle w:val="Compact"/>
      </w:pPr>
      <w:r>
        <w:rPr>
          <w:bCs/>
          <w:b/>
        </w:rPr>
        <w:t xml:space="preserve">Calculation:</w:t>
      </w:r>
      <w:r>
        <w:t xml:space="preserve"> </w:t>
      </w:r>
      <w:r>
        <w:t xml:space="preserve">50 kWh * 0.25 kg CO2e/kWh = 12.5 kg CO2e/unit</w:t>
      </w:r>
    </w:p>
    <w:p>
      <w:pPr>
        <w:numPr>
          <w:ilvl w:val="0"/>
          <w:numId w:val="1012"/>
        </w:numPr>
        <w:pStyle w:val="Compact"/>
      </w:pPr>
      <w:r>
        <w:rPr>
          <w:bCs/>
          <w:b/>
        </w:rPr>
        <w:t xml:space="preserve">Estimated Scope 3 (Use Phase) Contribution:</w:t>
      </w:r>
      <w:r>
        <w:t xml:space="preserve"> </w:t>
      </w:r>
      <w:r>
        <w:t xml:space="preserve">12.5 kg CO2e/unit</w:t>
      </w:r>
    </w:p>
    <w:bookmarkEnd w:id="34"/>
    <w:bookmarkStart w:id="35" w:name="X1d056235aa72f42174d6f8a6dc93286eaa76999"/>
    <w:p>
      <w:pPr>
        <w:pStyle w:val="Heading5"/>
      </w:pPr>
      <w:r>
        <w:t xml:space="preserve">End-of-Life (EoL) Treatment (Category 12: End-of-Life Treatment of Sold Products)</w:t>
      </w:r>
    </w:p>
    <w:p>
      <w:pPr>
        <w:pStyle w:val="FirstParagraph"/>
      </w:pPr>
      <w:r>
        <w:t xml:space="preserve">Emissions and potential avoided emissions from recycling are considered.</w:t>
      </w:r>
    </w:p>
    <w:p>
      <w:pPr>
        <w:numPr>
          <w:ilvl w:val="0"/>
          <w:numId w:val="1013"/>
        </w:numPr>
        <w:pStyle w:val="Compact"/>
      </w:pPr>
      <w:r>
        <w:rPr>
          <w:bCs/>
          <w:b/>
        </w:rPr>
        <w:t xml:space="preserve">Recyclability Percentage:</w:t>
      </w:r>
      <w:r>
        <w:t xml:space="preserve"> </w:t>
      </w:r>
      <w:r>
        <w:t xml:space="preserve">75%</w:t>
      </w:r>
    </w:p>
    <w:p>
      <w:pPr>
        <w:numPr>
          <w:ilvl w:val="0"/>
          <w:numId w:val="1013"/>
        </w:numPr>
        <w:pStyle w:val="Compact"/>
      </w:pPr>
      <w:r>
        <w:rPr>
          <w:bCs/>
          <w:b/>
        </w:rPr>
        <w:t xml:space="preserve">Landfill Percentage:</w:t>
      </w:r>
      <w:r>
        <w:t xml:space="preserve"> </w:t>
      </w:r>
      <w:r>
        <w:t xml:space="preserve">25% (100% - 75%)</w:t>
      </w:r>
    </w:p>
    <w:p>
      <w:pPr>
        <w:numPr>
          <w:ilvl w:val="0"/>
          <w:numId w:val="1013"/>
        </w:numPr>
        <w:pStyle w:val="Compact"/>
      </w:pPr>
      <w:r>
        <w:rPr>
          <w:bCs/>
          <w:b/>
        </w:rPr>
        <w:t xml:space="preserve">Product Weight:</w:t>
      </w:r>
      <w:r>
        <w:t xml:space="preserve"> </w:t>
      </w:r>
      <w:r>
        <w:t xml:space="preserve">Sum of BOM material weights = 0.5 + 0.3 + 0.1 (unit assumed 0.1kg) + 0.05 + 0.08 + 0.15 = 1.18 kg (approx)</w:t>
      </w:r>
    </w:p>
    <w:p>
      <w:pPr>
        <w:numPr>
          <w:ilvl w:val="0"/>
          <w:numId w:val="1013"/>
        </w:numPr>
        <w:pStyle w:val="Compact"/>
      </w:pPr>
      <w:r>
        <w:rPr>
          <w:bCs/>
          <w:b/>
        </w:rPr>
        <w:t xml:space="preserve">Avoided Emissions from Recycling (estimated average benefit):</w:t>
      </w:r>
      <w:r>
        <w:t xml:space="preserve"> </w:t>
      </w:r>
      <w:r>
        <w:t xml:space="preserve">~(-1.0 to -3.0) kg CO2e/kg of recycled material (depends on material type, varies significantly). Assuming an average of -1.5 kg CO2e/kg for 75% recycled content.</w:t>
      </w:r>
    </w:p>
    <w:p>
      <w:pPr>
        <w:numPr>
          <w:ilvl w:val="0"/>
          <w:numId w:val="1013"/>
        </w:numPr>
        <w:pStyle w:val="Compact"/>
      </w:pPr>
      <w:r>
        <w:rPr>
          <w:bCs/>
          <w:b/>
        </w:rPr>
        <w:t xml:space="preserve">Landfill Emissions (estimated average):</w:t>
      </w:r>
      <w:r>
        <w:t xml:space="preserve"> </w:t>
      </w:r>
      <w:r>
        <w:t xml:space="preserve">~0.1 kg CO2e/kg for mixed waste.</w:t>
      </w:r>
    </w:p>
    <w:p>
      <w:pPr>
        <w:numPr>
          <w:ilvl w:val="0"/>
          <w:numId w:val="1013"/>
        </w:numPr>
        <w:pStyle w:val="Compact"/>
      </w:pPr>
      <w:r>
        <w:rPr>
          <w:bCs/>
          <w:b/>
        </w:rPr>
        <w:t xml:space="preserve">Calculation (Recycling Benefit):</w:t>
      </w:r>
      <w:r>
        <w:t xml:space="preserve"> </w:t>
      </w:r>
      <w:r>
        <w:t xml:space="preserve">1.18 kg * 0.75 * (-1.5) kg CO2e/kg = -1.3275 kg CO2e/unit</w:t>
      </w:r>
    </w:p>
    <w:p>
      <w:pPr>
        <w:numPr>
          <w:ilvl w:val="0"/>
          <w:numId w:val="1013"/>
        </w:numPr>
        <w:pStyle w:val="Compact"/>
      </w:pPr>
      <w:r>
        <w:rPr>
          <w:bCs/>
          <w:b/>
        </w:rPr>
        <w:t xml:space="preserve">Calculation (Landfill Emissions):</w:t>
      </w:r>
      <w:r>
        <w:t xml:space="preserve"> </w:t>
      </w:r>
      <w:r>
        <w:t xml:space="preserve">1.18 kg * 0.25 * 0.1 kg CO2e/kg = 0.0295 kg CO2e/unit</w:t>
      </w:r>
    </w:p>
    <w:p>
      <w:pPr>
        <w:numPr>
          <w:ilvl w:val="0"/>
          <w:numId w:val="1013"/>
        </w:numPr>
        <w:pStyle w:val="Compact"/>
      </w:pPr>
      <w:r>
        <w:rPr>
          <w:bCs/>
          <w:b/>
        </w:rPr>
        <w:t xml:space="preserve">Estimated Scope 3 (EoL) Contribution:</w:t>
      </w:r>
      <w:r>
        <w:t xml:space="preserve"> </w:t>
      </w:r>
      <w:r>
        <w:t xml:space="preserve">-1.3275 + 0.0295 = -1.298 kg CO2e/unit (Net benefit due to high recycling)</w:t>
      </w:r>
    </w:p>
    <w:p>
      <w:pPr>
        <w:numPr>
          <w:ilvl w:val="0"/>
          <w:numId w:val="1013"/>
        </w:numPr>
        <w:pStyle w:val="Compact"/>
      </w:pPr>
      <w:r>
        <w:rPr>
          <w:bCs/>
          <w:b/>
        </w:rPr>
        <w:t xml:space="preserve">Circular Programs:</w:t>
      </w:r>
      <w:r>
        <w:t xml:space="preserve"> </w:t>
      </w:r>
      <w:r>
        <w:t xml:space="preserve">The established take-back program enhances material recovery, contributing to these avoided emissions.</w:t>
      </w:r>
    </w:p>
    <w:bookmarkEnd w:id="35"/>
    <w:bookmarkEnd w:id="36"/>
    <w:bookmarkStart w:id="37" w:name="X4445851c14d44f9a23021f1d53388bca2c4dd3d"/>
    <w:p>
      <w:pPr>
        <w:pStyle w:val="Heading4"/>
      </w:pPr>
      <w:r>
        <w:t xml:space="preserve">Land Sector and Removals (LSR) Standard (2026 Update)</w:t>
      </w:r>
    </w:p>
    <w:p>
      <w:pPr>
        <w:pStyle w:val="FirstParagraph"/>
      </w:pPr>
      <w:r>
        <w:t xml:space="preserve">The 2026 LSR Standard is applied to account for land use emissions and carbon removals. For a manufactured product like oesofmifgo, this typically relates to the land use change associated with raw material extraction (e.g., forestry for cardboard, mining for metals) and any biogenic carbon stored in the product. Given the current data, we acknowledge its application and assume any significant LSR impacts from raw materials are embedded within the material emission factors (e.g., biogenic carbon uptake for paper, land-use change for specific minerals). Specific removals would occur if the product itself sequestered biogenic carbon long-term, which is not directly applicable here unless specific bio-based materials are used and their sequestration is tracked. The negative EoL impact due to recycling can be seen as an avoided emission which aligns with the spirit of reducing net impact.</w:t>
      </w:r>
    </w:p>
    <w:bookmarkEnd w:id="37"/>
    <w:bookmarkEnd w:id="38"/>
    <w:bookmarkStart w:id="39" w:name="X6d11755dfadbf31d6b1fc0d4114771308879e2a"/>
    <w:p>
      <w:pPr>
        <w:pStyle w:val="Heading3"/>
      </w:pPr>
      <w:r>
        <w:t xml:space="preserve">Summary of Product Carbon Footprint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Estimated Emissions (kg CO2e/unit)</w:t>
            </w:r>
          </w:p>
        </w:tc>
        <w:tc>
          <w:tcPr/>
          <w:p>
            <w:pPr>
              <w:pStyle w:val="Compact"/>
              <w:jc w:val="left"/>
            </w:pPr>
            <w:r>
              <w:t xml:space="preserve">Notes</w:t>
            </w:r>
          </w:p>
        </w:tc>
      </w:tr>
      <w:tr>
        <w:tc>
          <w:tcPr/>
          <w:p>
            <w:pPr>
              <w:pStyle w:val="Compact"/>
              <w:jc w:val="left"/>
            </w:pPr>
            <w:r>
              <w:rPr>
                <w:bCs/>
                <w:b/>
              </w:rPr>
              <w:t xml:space="preserve">Scope 1 (Direct Emissions - Production)</w:t>
            </w:r>
          </w:p>
        </w:tc>
        <w:tc>
          <w:tcPr/>
          <w:p>
            <w:pPr>
              <w:pStyle w:val="Compact"/>
              <w:jc w:val="left"/>
            </w:pPr>
            <w:r>
              <w:t xml:space="preserve">&lt; 0.1</w:t>
            </w:r>
          </w:p>
        </w:tc>
        <w:tc>
          <w:tcPr/>
          <w:p>
            <w:pPr>
              <w:pStyle w:val="Compact"/>
              <w:jc w:val="left"/>
            </w:pPr>
            <w:r>
              <w:t xml:space="preserve">Assumed negligible for typical manufacturing</w:t>
            </w:r>
          </w:p>
        </w:tc>
      </w:tr>
      <w:tr>
        <w:tc>
          <w:tcPr/>
          <w:p>
            <w:pPr>
              <w:pStyle w:val="Compact"/>
              <w:jc w:val="left"/>
            </w:pPr>
            <w:r>
              <w:rPr>
                <w:bCs/>
                <w:b/>
              </w:rPr>
              <w:t xml:space="preserve">Scope 2 (Purchased Electricity - Production)</w:t>
            </w:r>
          </w:p>
        </w:tc>
        <w:tc>
          <w:tcPr/>
          <w:p>
            <w:pPr>
              <w:pStyle w:val="Compact"/>
              <w:jc w:val="left"/>
            </w:pPr>
            <w:r>
              <w:t xml:space="preserve">0.60</w:t>
            </w:r>
          </w:p>
        </w:tc>
        <w:tc>
          <w:tcPr/>
          <w:p>
            <w:pPr>
              <w:pStyle w:val="Compact"/>
              <w:jc w:val="left"/>
            </w:pPr>
            <w:r>
              <w:t xml:space="preserve">Based on non-renewable grid mix in China</w:t>
            </w:r>
          </w:p>
        </w:tc>
      </w:tr>
      <w:tr>
        <w:tc>
          <w:tcPr>
            <w:gridSpan w:val="3"/>
          </w:tcPr>
          <w:p>
            <w:pPr>
              <w:pStyle w:val="Compact"/>
              <w:jc w:val="left"/>
            </w:pPr>
            <w:r>
              <w:rPr>
                <w:bCs/>
                <w:b/>
              </w:rPr>
              <w:t xml:space="preserve">Scope 3 (Value Chain Emissions)</w:t>
            </w:r>
          </w:p>
        </w:tc>
      </w:tr>
      <w:tr>
        <w:tc>
          <w:tcPr/>
          <w:p>
            <w:pPr>
              <w:pStyle w:val="Compact"/>
              <w:jc w:val="left"/>
            </w:pPr>
            <w:r>
              <w:t xml:space="preserve">   Materials (Upstream)</w:t>
            </w:r>
          </w:p>
        </w:tc>
        <w:tc>
          <w:tcPr/>
          <w:p>
            <w:pPr>
              <w:pStyle w:val="Compact"/>
              <w:jc w:val="left"/>
            </w:pPr>
            <w:r>
              <w:t xml:space="preserve">7.70</w:t>
            </w:r>
          </w:p>
        </w:tc>
        <w:tc>
          <w:tcPr/>
          <w:p>
            <w:pPr>
              <w:pStyle w:val="Compact"/>
              <w:jc w:val="left"/>
            </w:pPr>
            <w:r>
              <w:t xml:space="preserve">From Detailed Bill of Materials</w:t>
            </w:r>
          </w:p>
        </w:tc>
      </w:tr>
      <w:tr>
        <w:tc>
          <w:tcPr/>
          <w:p>
            <w:pPr>
              <w:pStyle w:val="Compact"/>
              <w:jc w:val="left"/>
            </w:pPr>
            <w:r>
              <w:t xml:space="preserve">   Transport (Upstream &amp; Downstream)</w:t>
            </w:r>
          </w:p>
        </w:tc>
        <w:tc>
          <w:tcPr/>
          <w:p>
            <w:pPr>
              <w:pStyle w:val="Compact"/>
              <w:jc w:val="left"/>
            </w:pPr>
            <w:r>
              <w:t xml:space="preserve">0.095</w:t>
            </w:r>
          </w:p>
        </w:tc>
        <w:tc>
          <w:tcPr/>
          <w:p>
            <w:pPr>
              <w:pStyle w:val="Compact"/>
              <w:jc w:val="left"/>
            </w:pPr>
            <w:r>
              <w:t xml:space="preserve">Ocean freight and last-mile road delivery</w:t>
            </w:r>
          </w:p>
        </w:tc>
      </w:tr>
      <w:tr>
        <w:tc>
          <w:tcPr/>
          <w:p>
            <w:pPr>
              <w:pStyle w:val="Compact"/>
              <w:jc w:val="left"/>
            </w:pPr>
            <w:r>
              <w:t xml:space="preserve">   Use Phase</w:t>
            </w:r>
          </w:p>
        </w:tc>
        <w:tc>
          <w:tcPr/>
          <w:p>
            <w:pPr>
              <w:pStyle w:val="Compact"/>
              <w:jc w:val="left"/>
            </w:pPr>
            <w:r>
              <w:t xml:space="preserve">12.50</w:t>
            </w:r>
          </w:p>
        </w:tc>
        <w:tc>
          <w:tcPr/>
          <w:p>
            <w:pPr>
              <w:pStyle w:val="Compact"/>
              <w:jc w:val="left"/>
            </w:pPr>
            <w:r>
              <w:t xml:space="preserve">Energy consumption over 5-year lifespan in Europe</w:t>
            </w:r>
          </w:p>
        </w:tc>
      </w:tr>
      <w:tr>
        <w:tc>
          <w:tcPr/>
          <w:p>
            <w:pPr>
              <w:pStyle w:val="Compact"/>
              <w:jc w:val="left"/>
            </w:pPr>
            <w:r>
              <w:t xml:space="preserve">   End-of-Life Treatment</w:t>
            </w:r>
          </w:p>
        </w:tc>
        <w:tc>
          <w:tcPr/>
          <w:p>
            <w:pPr>
              <w:pStyle w:val="Compact"/>
              <w:jc w:val="left"/>
            </w:pPr>
            <w:r>
              <w:t xml:space="preserve">-1.298</w:t>
            </w:r>
          </w:p>
        </w:tc>
        <w:tc>
          <w:tcPr/>
          <w:p>
            <w:pPr>
              <w:pStyle w:val="Compact"/>
              <w:jc w:val="left"/>
            </w:pPr>
            <w:r>
              <w:t xml:space="preserve">Net benefit due to high recyclability and take-back program</w:t>
            </w:r>
          </w:p>
        </w:tc>
      </w:tr>
      <w:tr>
        <w:tc>
          <w:tcPr/>
          <w:p>
            <w:pPr>
              <w:pStyle w:val="Compact"/>
              <w:jc w:val="right"/>
            </w:pPr>
            <w:r>
              <w:rPr>
                <w:bCs/>
                <w:b/>
              </w:rPr>
              <w:t xml:space="preserve">TOTAL PRODUCT CARBON FOOTPRINT</w:t>
            </w:r>
          </w:p>
        </w:tc>
        <w:tc>
          <w:tcPr/>
          <w:p>
            <w:pPr>
              <w:pStyle w:val="Compact"/>
              <w:jc w:val="left"/>
            </w:pPr>
            <w:r>
              <w:rPr>
                <w:bCs/>
                <w:b/>
              </w:rPr>
              <w:t xml:space="preserve">19.60 kg CO2e/unit</w:t>
            </w:r>
            <w:r>
              <w:t xml:space="preserve"> </w:t>
            </w:r>
            <w:r>
              <w:t xml:space="preserve">(approx.)</w:t>
            </w:r>
          </w:p>
        </w:tc>
        <w:tc>
          <w:tcPr/>
          <w:p>
            <w:pPr>
              <w:pStyle w:val="Compact"/>
              <w:jc w:val="left"/>
            </w:pPr>
            <w:r>
              <w:t xml:space="preserve">Sum of all quantifiable scopes and stages</w:t>
            </w:r>
          </w:p>
        </w:tc>
      </w:tr>
    </w:tbl>
    <w:p>
      <w:pPr>
        <w:pStyle w:val="BodyText"/>
      </w:pPr>
      <w:r>
        <w:rPr>
          <w:iCs/>
          <w:i/>
        </w:rPr>
        <w:t xml:space="preserve">Note: The total has been rounded for presentation, and the Scope 1 contribution, while minor, is included in the \'less than 0.1\' category. The actual sum if 0.1 were used for Scope 1 would be 19.70 kg CO2e/unit.</w:t>
      </w:r>
    </w:p>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emission-hotspots"/>
    <w:p>
      <w:pPr>
        <w:pStyle w:val="Heading3"/>
      </w:pPr>
      <w:r>
        <w:t xml:space="preserve">Emission Hotspots</w:t>
      </w:r>
    </w:p>
    <w:p>
      <w:pPr>
        <w:pStyle w:val="FirstParagraph"/>
      </w:pPr>
      <w:r>
        <w:t xml:space="preserve">The analysis identifies the following primary emission hotspots for oesofmifgo:</w:t>
      </w:r>
    </w:p>
    <w:p>
      <w:pPr>
        <w:numPr>
          <w:ilvl w:val="0"/>
          <w:numId w:val="1014"/>
        </w:numPr>
        <w:pStyle w:val="Compact"/>
      </w:pPr>
      <w:r>
        <w:rPr>
          <w:bCs/>
          <w:b/>
        </w:rPr>
        <w:t xml:space="preserve">Use Phase (63.8% of total):</w:t>
      </w:r>
      <w:r>
        <w:t xml:space="preserve"> </w:t>
      </w:r>
      <w:r>
        <w:t xml:space="preserve">The most significant contributor is the energy consumed during the 5-year product lifespan. This highlights the importance of energy efficiency in product design and user behavior.</w:t>
      </w:r>
    </w:p>
    <w:p>
      <w:pPr>
        <w:numPr>
          <w:ilvl w:val="0"/>
          <w:numId w:val="1014"/>
        </w:numPr>
        <w:pStyle w:val="Compact"/>
      </w:pPr>
      <w:r>
        <w:rPr>
          <w:bCs/>
          <w:b/>
        </w:rPr>
        <w:t xml:space="preserve">Materials (39.3% of total):</w:t>
      </w:r>
      <w:r>
        <w:t xml:space="preserve"> </w:t>
      </w:r>
      <w:r>
        <w:t xml:space="preserve">The upstream impacts of raw material extraction and processing, particularly for aluminum, electronics (PCB), and the lithium-ion battery, are substantial.</w:t>
      </w:r>
    </w:p>
    <w:p>
      <w:pPr>
        <w:numPr>
          <w:ilvl w:val="0"/>
          <w:numId w:val="1014"/>
        </w:numPr>
        <w:pStyle w:val="Compact"/>
      </w:pPr>
      <w:r>
        <w:rPr>
          <w:bCs/>
          <w:b/>
        </w:rPr>
        <w:t xml:space="preserve">Production Energy (3.1% of total):</w:t>
      </w:r>
      <w:r>
        <w:t xml:space="preserve"> </w:t>
      </w:r>
      <w:r>
        <w:t xml:space="preserve">While renewable energy usage helps, the non-renewable portion of electricity consumed during manufacturing remains a contributor.</w:t>
      </w:r>
    </w:p>
    <w:p>
      <w:pPr>
        <w:numPr>
          <w:ilvl w:val="0"/>
          <w:numId w:val="1014"/>
        </w:numPr>
        <w:pStyle w:val="Compact"/>
      </w:pPr>
      <w:r>
        <w:rPr>
          <w:bCs/>
          <w:b/>
        </w:rPr>
        <w:t xml:space="preserve">End-of-Life (Net Negative -6.6%):</w:t>
      </w:r>
      <w:r>
        <w:t xml:space="preserve"> </w:t>
      </w:r>
      <w:r>
        <w:t xml:space="preserve">The high recyclability and established take-back program create a significant avoided emissions benefit, demonstrating the positive impact of circular economy initiatives.</w:t>
      </w:r>
    </w:p>
    <w:p>
      <w:pPr>
        <w:numPr>
          <w:ilvl w:val="0"/>
          <w:numId w:val="1014"/>
        </w:numPr>
        <w:pStyle w:val="Compact"/>
      </w:pPr>
      <w:r>
        <w:rPr>
          <w:bCs/>
          <w:b/>
        </w:rPr>
        <w:t xml:space="preserve">Transport (0.5% of total):</w:t>
      </w:r>
      <w:r>
        <w:t xml:space="preserve"> </w:t>
      </w:r>
      <w:r>
        <w:t xml:space="preserve">While essential, transport emissions are comparatively low due to efficient modes like ocean freight for the main supply chain and optimized last-mile delivery.</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contingent on the accuracy of the underlying data. While primary data for BOM, energy usage, and EoL scenarios were provided and used, secondary emission factors are estimates from reputable databases (Ecoinvent, DEFRA) and represent average values. Geographic specificity for some factors (e.g., electricity grid mix) was applied where possible. The assumed product weight for transport calculations is an approximation. Continuous improvement in data collection, especially for upstream supply chain processes and specific regional emission factors, would further enhance the accuracy of future assessments. The 95% Scope 3 coverage target has been met through the comprehensive inclusion of material, transport, use, and EoL stages.</w:t>
      </w:r>
    </w:p>
    <w:bookmarkEnd w:id="42"/>
    <w:bookmarkStart w:id="43" w:name="recommendations-for-emission-reduction"/>
    <w:p>
      <w:pPr>
        <w:pStyle w:val="Heading3"/>
      </w:pPr>
      <w:r>
        <w:t xml:space="preserve">Recommendations for Emission Reduction</w:t>
      </w:r>
    </w:p>
    <w:p>
      <w:pPr>
        <w:pStyle w:val="FirstParagraph"/>
      </w:pPr>
      <w:r>
        <w:t xml:space="preserve">Based on the identified hotspots, xfxlrjgxmy can consider the following strategies to reduce the PCF of oesofmifgo:</w:t>
      </w:r>
    </w:p>
    <w:p>
      <w:pPr>
        <w:numPr>
          <w:ilvl w:val="0"/>
          <w:numId w:val="1015"/>
        </w:numPr>
        <w:pStyle w:val="Compact"/>
      </w:pPr>
      <w:r>
        <w:rPr>
          <w:bCs/>
          <w:b/>
        </w:rPr>
        <w:t xml:space="preserve">Optimize Use Phase Energy Efficiency:</w:t>
      </w:r>
      <w:r>
        <w:t xml:space="preserve"> </w:t>
      </w:r>
      <w:r>
        <w:t xml:space="preserve">Focus on designing the product for lower energy consumption during its operational life. This could involve more energy-efficient components, smart power management features, or longer lifespan without performance degradation.</w:t>
      </w:r>
    </w:p>
    <w:p>
      <w:pPr>
        <w:numPr>
          <w:ilvl w:val="0"/>
          <w:numId w:val="1015"/>
        </w:numPr>
        <w:pStyle w:val="Compact"/>
      </w:pPr>
      <w:r>
        <w:rPr>
          <w:bCs/>
          <w:b/>
        </w:rPr>
        <w:t xml:space="preserve">Material Innovation:</w:t>
      </w:r>
      <w:r>
        <w:t xml:space="preserve"> </w:t>
      </w:r>
      <w:r>
        <w:t xml:space="preserve">Explore alternative, lower-carbon materials for the aluminum casing, plastic enclosure, and battery components. Prioritize materials with higher recycled content or those produced using renewable energy.</w:t>
      </w:r>
    </w:p>
    <w:p>
      <w:pPr>
        <w:numPr>
          <w:ilvl w:val="0"/>
          <w:numId w:val="1015"/>
        </w:numPr>
        <w:pStyle w:val="Compact"/>
      </w:pPr>
      <w:r>
        <w:rPr>
          <w:bCs/>
          <w:b/>
        </w:rPr>
        <w:t xml:space="preserve">Enhance Renewable Energy Adoption:</w:t>
      </w:r>
      <w:r>
        <w:t xml:space="preserve"> </w:t>
      </w:r>
      <w:r>
        <w:t xml:space="preserve">Further increase the share of renewable energy in manufacturing operations, beyond the current 60%, to reduce Scope 2 emissions.</w:t>
      </w:r>
    </w:p>
    <w:p>
      <w:pPr>
        <w:numPr>
          <w:ilvl w:val="0"/>
          <w:numId w:val="1015"/>
        </w:numPr>
        <w:pStyle w:val="Compact"/>
      </w:pPr>
      <w:r>
        <w:rPr>
          <w:bCs/>
          <w:b/>
        </w:rPr>
        <w:t xml:space="preserve">Strengthen Circularity:</w:t>
      </w:r>
      <w:r>
        <w:t xml:space="preserve"> </w:t>
      </w:r>
      <w:r>
        <w:t xml:space="preserve">Continue to invest in and expand the product take-back and material recovery programs. Explore design-for-disassembly principles to make material recovery even more efficient.</w:t>
      </w:r>
    </w:p>
    <w:p>
      <w:pPr>
        <w:numPr>
          <w:ilvl w:val="0"/>
          <w:numId w:val="1015"/>
        </w:numPr>
        <w:pStyle w:val="Compact"/>
      </w:pPr>
      <w:r>
        <w:rPr>
          <w:bCs/>
          <w:b/>
        </w:rPr>
        <w:t xml:space="preserve">Supplier Engagement:</w:t>
      </w:r>
      <w:r>
        <w:t xml:space="preserve"> </w:t>
      </w:r>
      <w:r>
        <w:t xml:space="preserve">Collaborate with key suppliers to encourage their decarbonization efforts, especially for high-impact components like batteries and PCBs.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oesofmifgo</dc:title>
  <dc:creator/>
  <dc:description>Detailed Product Carbon Footprint (PCF) analysis report for oesofmifgo, adhering to GHG Protocol standards and 2026 LSR update, performed by Senior Sustainability Consultant wxxgtuegod for xfxlrjgxmy.</dc:description>
  <dc:language>en</dc:language>
  <cp:keywords/>
  <dcterms:created xsi:type="dcterms:W3CDTF">2026-07-15T12:45:26Z</dcterms:created>
  <dcterms:modified xsi:type="dcterms:W3CDTF">2026-07-15T12:45:26Z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