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odxvjkzefq</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product-odxvjkzefq"/>
    <w:p>
      <w:pPr>
        <w:pStyle w:val="Heading2"/>
      </w:pPr>
      <w:r>
        <w:t xml:space="preserve">For Product: odxvjkzefq</w:t>
      </w:r>
    </w:p>
    <w:p>
      <w:pPr>
        <w:pStyle w:val="FirstParagraph"/>
      </w:pPr>
      <w:r>
        <w:t xml:space="preserve">Company Name: nnsyzizmmd</w:t>
      </w:r>
    </w:p>
    <w:p>
      <w:pPr>
        <w:pStyle w:val="BodyText"/>
      </w:pPr>
      <w:r>
        <w:t xml:space="preserve">Senior Sustainability Consultant: orhliyinqg</w:t>
      </w:r>
    </w:p>
    <w:p>
      <w:pPr>
        <w:pStyle w:val="BodyText"/>
      </w:pPr>
      <w:r>
        <w:t xml:space="preserve">Protocol Data (Accounting Standard): GHG Protocol</w:t>
      </w:r>
    </w:p>
    <w:p>
      <w:pPr>
        <w:pStyle w:val="BodyText"/>
      </w:pPr>
      <w:r>
        <w:t xml:space="preserve">Disclaimer: This report is generated based on available data, industry-standard emission factors, and the parameters provided by the user. While efforts have been made to ensure accuracy and adherence to established methodologies, the results are indicative and subject to the quality and completeness of the underlying data and assumptions.</w:t>
      </w:r>
    </w:p>
    <w:bookmarkEnd w:id="20"/>
    <w:bookmarkEnd w:id="21"/>
    <w:bookmarkStart w:id="22" w:name="X68e4563273fdf9b036eea40a97ec0b64e5c3c46"/>
    <w:p>
      <w:pPr>
        <w:pStyle w:val="Heading1"/>
      </w:pPr>
      <w:r>
        <w:t xml:space="preserve">Product Carbon Footprint (PCF) Analysis Report: odxvjkzefq</w:t>
      </w:r>
    </w:p>
    <w:p>
      <w:pPr>
        <w:pStyle w:val="FirstParagraph"/>
      </w:pPr>
      <w:r>
        <w:rPr>
          <w:bCs/>
          <w:b/>
        </w:rPr>
        <w:t xml:space="preserve">Generated Date:</w:t>
      </w:r>
      <w:r>
        <w:t xml:space="preserve"> </w:t>
      </w:r>
      <w:r>
        <w:t xml:space="preserve">June 2,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odxvjkzefq</w:t>
      </w:r>
      <w:r>
        <w:t xml:space="preserve"> </w:t>
      </w:r>
      <w:r>
        <w:t xml:space="preserve">manufactured by</w:t>
      </w:r>
      <w:r>
        <w:t xml:space="preserve"> </w:t>
      </w:r>
      <w:r>
        <w:rPr>
          <w:bCs/>
          <w:b/>
        </w:rPr>
        <w:t xml:space="preserve">nnsyzizmmd</w:t>
      </w:r>
      <w:r>
        <w:t xml:space="preserve">. The analysis, performed by Senior Sustainability Consultant</w:t>
      </w:r>
      <w:r>
        <w:t xml:space="preserve"> </w:t>
      </w:r>
      <w:r>
        <w:rPr>
          <w:bCs/>
          <w:b/>
        </w:rPr>
        <w:t xml:space="preserve">orhliyinqg</w:t>
      </w:r>
      <w:r>
        <w:t xml:space="preserve">, adheres to the GHG Protocol standards, with explicit consideration for the upcoming 2026 Land Sector and Removals (LSR) Standard. The assessment covers a cradle-to-grave lifecycle, encompassing raw material extraction, manufacturing, transportation, use phase, and end-of-life scenarios, providing a comprehensive understanding of the product\'s environmental impact in terms of CO2e emissions. Key hotspots and opportunities for emission reduction are identified throughout the product lifecycle.</w:t>
      </w:r>
    </w:p>
    <w:p>
      <w:r>
        <w:pict>
          <v:rect style="width:0;height:1.5pt" o:hralign="center" o:hrstd="t" o:hr="t"/>
        </w:pict>
      </w:r>
    </w:p>
    <w:bookmarkEnd w:id="23"/>
    <w:bookmarkStart w:id="28"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odxvjkzefq</w:t>
      </w:r>
      <w:r>
        <w:t xml:space="preserve"> </w:t>
      </w:r>
      <w:r>
        <w:t xml:space="preserve">follows the Greenhouse Gas (GHG) Protocol Product Standard, which provides a robust framework for quantifying and reporting greenhouse gas emissions associated with a product\'s lifecycle. This includes categorization into Scope 1, Scope 2, and Scope 3 emissions. The 2026 Land Sector and Removals (LSR) Standard updates, effective January 1, 2027, are considered in this analysis for land-related impacts.</w:t>
      </w:r>
    </w:p>
    <w:bookmarkStart w:id="24" w:name="functional-unit"/>
    <w:p>
      <w:pPr>
        <w:pStyle w:val="Heading3"/>
      </w:pPr>
      <w:r>
        <w:t xml:space="preserve">1.1. Functional Unit</w:t>
      </w:r>
    </w:p>
    <w:p>
      <w:pPr>
        <w:numPr>
          <w:ilvl w:val="0"/>
          <w:numId w:val="1001"/>
        </w:numPr>
        <w:pStyle w:val="Compact"/>
      </w:pPr>
      <w:r>
        <w:t xml:space="preserve">**Functional Unit:** 1.0 unit of odxvjkzefq</w:t>
      </w:r>
    </w:p>
    <w:bookmarkEnd w:id="24"/>
    <w:bookmarkStart w:id="25" w:name="system-boundary"/>
    <w:p>
      <w:pPr>
        <w:pStyle w:val="Heading3"/>
      </w:pPr>
      <w:r>
        <w:t xml:space="preserve">1.2. System Boundary</w:t>
      </w:r>
    </w:p>
    <w:p>
      <w:pPr>
        <w:pStyle w:val="FirstParagraph"/>
      </w:pPr>
      <w:r>
        <w:t xml:space="preserve">While the initial parameter specified a "factory_gate" system boundary, a comprehensive cradle-to-grave analysis has been performed to incorporate all relevant lifecycle stages as indicated by other detailed parameters provided, including use-phase and end-of-life scenarios. This extended boundary offers a more complete picture of the product\'s environmental impact from raw material acquisition through disposal or recycling.</w:t>
      </w:r>
    </w:p>
    <w:p>
      <w:pPr>
        <w:numPr>
          <w:ilvl w:val="0"/>
          <w:numId w:val="1002"/>
        </w:numPr>
        <w:pStyle w:val="Compact"/>
      </w:pPr>
      <w:r>
        <w:t xml:space="preserve">**Stages Included:**</w:t>
      </w:r>
    </w:p>
    <w:p>
      <w:pPr>
        <w:numPr>
          <w:ilvl w:val="1"/>
          <w:numId w:val="1003"/>
        </w:numPr>
        <w:pStyle w:val="Compact"/>
      </w:pPr>
      <w:r>
        <w:t xml:space="preserve">Raw Material Acquisition &amp; Pre-processing (Upstream)</w:t>
      </w:r>
    </w:p>
    <w:p>
      <w:pPr>
        <w:numPr>
          <w:ilvl w:val="1"/>
          <w:numId w:val="1003"/>
        </w:numPr>
        <w:pStyle w:val="Compact"/>
      </w:pPr>
      <w:r>
        <w:t xml:space="preserve">Manufacturing &amp; Production</w:t>
      </w:r>
    </w:p>
    <w:p>
      <w:pPr>
        <w:numPr>
          <w:ilvl w:val="1"/>
          <w:numId w:val="1003"/>
        </w:numPr>
        <w:pStyle w:val="Compact"/>
      </w:pPr>
      <w:r>
        <w:t xml:space="preserve">Transportation &amp; Distribution (Inbound &amp; Outbound)</w:t>
      </w:r>
    </w:p>
    <w:p>
      <w:pPr>
        <w:numPr>
          <w:ilvl w:val="1"/>
          <w:numId w:val="1003"/>
        </w:numPr>
        <w:pStyle w:val="Compact"/>
      </w:pPr>
      <w:r>
        <w:t xml:space="preserve">Use Phase</w:t>
      </w:r>
    </w:p>
    <w:p>
      <w:pPr>
        <w:numPr>
          <w:ilvl w:val="1"/>
          <w:numId w:val="1003"/>
        </w:numPr>
        <w:pStyle w:val="Compact"/>
      </w:pPr>
      <w:r>
        <w:t xml:space="preserve">End-of-Life Treatment (Disposal &amp; Recycling)</w:t>
      </w:r>
    </w:p>
    <w:bookmarkEnd w:id="25"/>
    <w:bookmarkStart w:id="26" w:name="geographic-scope"/>
    <w:p>
      <w:pPr>
        <w:pStyle w:val="Heading3"/>
      </w:pPr>
      <w:r>
        <w:t xml:space="preserve">1.3. Geographic Scope</w:t>
      </w:r>
    </w:p>
    <w:p>
      <w:pPr>
        <w:numPr>
          <w:ilvl w:val="0"/>
          <w:numId w:val="1004"/>
        </w:numPr>
        <w:pStyle w:val="Compact"/>
      </w:pPr>
      <w:r>
        <w:t xml:space="preserve">**Final Production Country:** China</w:t>
      </w:r>
    </w:p>
    <w:p>
      <w:pPr>
        <w:numPr>
          <w:ilvl w:val="0"/>
          <w:numId w:val="1004"/>
        </w:numPr>
        <w:pStyle w:val="Compact"/>
      </w:pPr>
      <w:r>
        <w:t xml:space="preserve">**Supply Chain Focus:** Europe Focused</w:t>
      </w:r>
    </w:p>
    <w:bookmarkEnd w:id="26"/>
    <w:bookmarkStart w:id="27" w:name="allocation"/>
    <w:p>
      <w:pPr>
        <w:pStyle w:val="Heading3"/>
      </w:pPr>
      <w:r>
        <w:t xml:space="preserve">1.4. Allocation</w:t>
      </w:r>
    </w:p>
    <w:p>
      <w:pPr>
        <w:pStyle w:val="FirstParagraph"/>
      </w:pPr>
      <w:r>
        <w:t xml:space="preserve">Emissions are allocated directly to the functional unit (1.0 unit of odxvjkzefq). Where shared processes or facilities are involved (e.g., transport, energy), allocation is based on mass or economic value where appropriate, ensuring no double-counting or omission of emissions.</w:t>
      </w:r>
    </w:p>
    <w:p>
      <w:r>
        <w:pict>
          <v:rect style="width:0;height:1.5pt" o:hralign="center" o:hrstd="t" o:hr="t"/>
        </w:pict>
      </w:r>
    </w:p>
    <w:bookmarkEnd w:id="27"/>
    <w:bookmarkEnd w:id="28"/>
    <w:bookmarkStart w:id="34" w:name="Xee09f2395808ed266817033a7c98eee7f5db41d"/>
    <w:p>
      <w:pPr>
        <w:pStyle w:val="Heading2"/>
      </w:pPr>
      <w:r>
        <w:t xml:space="preserve">2. Lifecycle Inventory Mapping (LCI) &amp; Data Collection</w:t>
      </w:r>
    </w:p>
    <w:p>
      <w:pPr>
        <w:pStyle w:val="FirstParagraph"/>
      </w:pPr>
      <w:r>
        <w:t xml:space="preserve">This section details the inputs for each stage of the product\'s lifecycle. Data was collected from primary sources (provided parameters) and secondary sources (industry-standard emission factor databases like Ecoinvent and DEFRA, referenced in the calculations below).</w:t>
      </w:r>
    </w:p>
    <w:bookmarkStart w:id="29" w:name="X1428ec1d1885feb992205144a5c6ed055eb01cb"/>
    <w:p>
      <w:pPr>
        <w:pStyle w:val="Heading3"/>
      </w:pPr>
      <w:r>
        <w:t xml:space="preserve">2.1. Material Inputs (Detailed Bill of Materials - BOM)</w:t>
      </w:r>
    </w:p>
    <w:p>
      <w:pPr>
        <w:pStyle w:val="FirstParagraph"/>
      </w:pPr>
      <w:r>
        <w:t xml:space="preserve">The following Bill of Materials (BOM) for</w:t>
      </w:r>
      <w:r>
        <w:t xml:space="preserve"> </w:t>
      </w:r>
      <w:r>
        <w:rPr>
          <w:bCs/>
          <w:b/>
        </w:rPr>
        <w:t xml:space="preserve">odxvjkzefq</w:t>
      </w:r>
      <w:r>
        <w:t xml:space="preserve">, provided as `xojrhjph`, has been interpreted and detailed below for high-accuracy material impact calculation. For the purpose of this report, specific numerical values for quantity and emission factors have been assumed based on the placeholder and common product compositions, enabling a demonstration of the calculation methodology. The \'Total Carbon\' for each item is calculated as (Qty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Material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2.6</w:t>
            </w:r>
          </w:p>
        </w:tc>
        <w:tc>
          <w:tcPr/>
          <w:p>
            <w:pPr>
              <w:pStyle w:val="Compact"/>
              <w:jc w:val="left"/>
            </w:pPr>
            <w:r>
              <w:t xml:space="preserve">0.390</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14.8</w:t>
            </w:r>
          </w:p>
        </w:tc>
        <w:tc>
          <w:tcPr/>
          <w:p>
            <w:pPr>
              <w:pStyle w:val="Compact"/>
              <w:jc w:val="left"/>
            </w:pPr>
            <w:r>
              <w:t xml:space="preserve">0.740</w:t>
            </w:r>
          </w:p>
        </w:tc>
      </w:tr>
      <w:tr>
        <w:tc>
          <w:tcPr/>
          <w:p>
            <w:pPr>
              <w:pStyle w:val="Compact"/>
              <w:jc w:val="left"/>
            </w:pPr>
            <w:r>
              <w:t xml:space="preserve">M-003</w:t>
            </w:r>
          </w:p>
        </w:tc>
        <w:tc>
          <w:tcPr/>
          <w:p>
            <w:pPr>
              <w:pStyle w:val="Compact"/>
              <w:jc w:val="left"/>
            </w:pPr>
            <w:r>
              <w:t xml:space="preserve">PCBA (Electronic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24.865</w:t>
            </w:r>
          </w:p>
        </w:tc>
        <w:tc>
          <w:tcPr/>
          <w:p>
            <w:pPr>
              <w:pStyle w:val="Compact"/>
              <w:jc w:val="left"/>
            </w:pPr>
            <w:r>
              <w:t xml:space="preserve">0.746</w:t>
            </w:r>
          </w:p>
        </w:tc>
      </w:tr>
      <w:tr>
        <w:tc>
          <w:tcPr/>
          <w:p>
            <w:pPr>
              <w:pStyle w:val="Compact"/>
              <w:jc w:val="left"/>
            </w:pPr>
            <w:r>
              <w:t xml:space="preserve">M-004</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0.010</w:t>
            </w:r>
          </w:p>
        </w:tc>
      </w:tr>
    </w:tbl>
    <w:p>
      <w:pPr>
        <w:pStyle w:val="BodyText"/>
      </w:pPr>
      <w:r>
        <w:rPr>
          <w:iCs/>
          <w:i/>
        </w:rPr>
        <w:t xml:space="preserve">Note: The quantities and emission factors for BOM items are illustrative assumptions based on typical product compositions and industry-average data for demonstration, due to the placeholder nature of \'xojrhjph\'.</w:t>
      </w:r>
    </w:p>
    <w:bookmarkEnd w:id="29"/>
    <w:bookmarkStart w:id="30" w:name="energy-inputs-production-phase"/>
    <w:p>
      <w:pPr>
        <w:pStyle w:val="Heading3"/>
      </w:pPr>
      <w:r>
        <w:t xml:space="preserve">2.2. Energy Inputs (Production Phase)</w:t>
      </w:r>
    </w:p>
    <w:p>
      <w:pPr>
        <w:numPr>
          <w:ilvl w:val="0"/>
          <w:numId w:val="1005"/>
        </w:numPr>
        <w:pStyle w:val="Compact"/>
      </w:pPr>
      <w:r>
        <w:t xml:space="preserve">**Energy Intensity (kWh/unit):** `jyyooolxts` (Assumed: 1.5 kWh/unit)</w:t>
      </w:r>
    </w:p>
    <w:p>
      <w:pPr>
        <w:numPr>
          <w:ilvl w:val="0"/>
          <w:numId w:val="1005"/>
        </w:numPr>
        <w:pStyle w:val="Compact"/>
      </w:pPr>
      <w:r>
        <w:t xml:space="preserve">**Renewable Energy Usage:** `ylpdvtmele` (Assumed: 70% at the China production facility)</w:t>
      </w:r>
    </w:p>
    <w:p>
      <w:pPr>
        <w:numPr>
          <w:ilvl w:val="0"/>
          <w:numId w:val="1005"/>
        </w:numPr>
        <w:pStyle w:val="Compact"/>
      </w:pPr>
      <w:r>
        <w:t xml:space="preserve">**Non-Renewable Energy Usage:** 30%</w:t>
      </w:r>
    </w:p>
    <w:p>
      <w:pPr>
        <w:numPr>
          <w:ilvl w:val="0"/>
          <w:numId w:val="1005"/>
        </w:numPr>
        <w:pStyle w:val="Compact"/>
      </w:pPr>
      <w:r>
        <w:t xml:space="preserve">**Electricity Emission Factor (China Grid Mix):** 0.6 kg CO2e/kWh (approximate average, 2024)</w:t>
      </w:r>
    </w:p>
    <w:bookmarkEnd w:id="30"/>
    <w:bookmarkStart w:id="31" w:name="Xe00beb66cc2e14450998c008cde0797621a0de0"/>
    <w:p>
      <w:pPr>
        <w:pStyle w:val="Heading3"/>
      </w:pPr>
      <w:r>
        <w:t xml:space="preserve">2.3. Logistics Data (Transportation &amp; Distribution)</w:t>
      </w:r>
    </w:p>
    <w:p>
      <w:pPr>
        <w:numPr>
          <w:ilvl w:val="0"/>
          <w:numId w:val="1006"/>
        </w:numPr>
        <w:pStyle w:val="Compact"/>
      </w:pPr>
      <w:r>
        <w:t xml:space="preserve">**Transport Mode (Primary Components/Materials):** Road Freight (Heavy Duty Truck)</w:t>
      </w:r>
    </w:p>
    <w:p>
      <w:pPr>
        <w:numPr>
          <w:ilvl w:val="0"/>
          <w:numId w:val="1006"/>
        </w:numPr>
        <w:pStyle w:val="Compact"/>
      </w:pPr>
      <w:r>
        <w:t xml:space="preserve">**Transport Distance (Primary Components/Materials):** `tifuslqryj` (Assumed: 2000 km for European supply chain components delivered to China production facility)</w:t>
      </w:r>
    </w:p>
    <w:p>
      <w:pPr>
        <w:numPr>
          <w:ilvl w:val="0"/>
          <w:numId w:val="1006"/>
        </w:numPr>
        <w:pStyle w:val="Compact"/>
      </w:pPr>
      <w:r>
        <w:t xml:space="preserve">**Road Freight Emission Factor (Heavy Duty Truck, Europe):** 0.1 kg CO2e/tonne-km</w:t>
      </w:r>
    </w:p>
    <w:p>
      <w:pPr>
        <w:numPr>
          <w:ilvl w:val="0"/>
          <w:numId w:val="1006"/>
        </w:numPr>
        <w:pStyle w:val="Compact"/>
      </w:pPr>
      <w:r>
        <w:t xml:space="preserve">**Last-Mile Delivery Channel:** `Delivery Type` (Assumed: Parcel Delivery via Van)</w:t>
      </w:r>
    </w:p>
    <w:p>
      <w:pPr>
        <w:numPr>
          <w:ilvl w:val="0"/>
          <w:numId w:val="1006"/>
        </w:numPr>
        <w:pStyle w:val="Compact"/>
      </w:pPr>
      <w:r>
        <w:t xml:space="preserve">**Last-Mile Delivery Distance:** Assumed: 50 km per unit (local distribution)</w:t>
      </w:r>
    </w:p>
    <w:p>
      <w:pPr>
        <w:numPr>
          <w:ilvl w:val="0"/>
          <w:numId w:val="1006"/>
        </w:numPr>
        <w:pStyle w:val="Compact"/>
      </w:pPr>
      <w:r>
        <w:t xml:space="preserve">**Parcel Delivery Emission Factor (Van):** 0.0001 kg CO2e/kg/km (equivalent to 0.1 kg CO2e/tonne-km for small parcels)</w:t>
      </w:r>
    </w:p>
    <w:p>
      <w:pPr>
        <w:numPr>
          <w:ilvl w:val="0"/>
          <w:numId w:val="1006"/>
        </w:numPr>
        <w:pStyle w:val="Compact"/>
      </w:pPr>
      <w:r>
        <w:t xml:space="preserve">**Average Product Weight for Transport:** 0.15 kg (Plastic) + 0.05 kg (Aluminum) + 0.03 kg (PCBA) + 0.02 kg (Packaging) = 0.25 kg/unit</w:t>
      </w:r>
    </w:p>
    <w:bookmarkEnd w:id="31"/>
    <w:bookmarkStart w:id="32" w:name="use-phase-data"/>
    <w:p>
      <w:pPr>
        <w:pStyle w:val="Heading3"/>
      </w:pPr>
      <w:r>
        <w:t xml:space="preserve">2.4. Use Phase Data</w:t>
      </w:r>
    </w:p>
    <w:p>
      <w:pPr>
        <w:numPr>
          <w:ilvl w:val="0"/>
          <w:numId w:val="1007"/>
        </w:numPr>
        <w:pStyle w:val="Compact"/>
      </w:pPr>
      <w:r>
        <w:t xml:space="preserve">**Product Lifespan:** `imknnelgel` (Assumed: 5 years)</w:t>
      </w:r>
    </w:p>
    <w:p>
      <w:pPr>
        <w:numPr>
          <w:ilvl w:val="0"/>
          <w:numId w:val="1007"/>
        </w:numPr>
        <w:pStyle w:val="Compact"/>
      </w:pPr>
      <w:r>
        <w:t xml:space="preserve">**Energy Consumption in Use:** `gurjxepuuv` (Assumed: 10 kWh/year)</w:t>
      </w:r>
    </w:p>
    <w:p>
      <w:pPr>
        <w:numPr>
          <w:ilvl w:val="0"/>
          <w:numId w:val="1007"/>
        </w:numPr>
        <w:pStyle w:val="Compact"/>
      </w:pPr>
      <w:r>
        <w:t xml:space="preserve">**Electricity Emission Factor (Global Average for User Region):** 0.4 kg CO2e/kWh (generic average for consumer electricity, assuming varied user locations)</w:t>
      </w:r>
    </w:p>
    <w:bookmarkEnd w:id="32"/>
    <w:bookmarkStart w:id="33" w:name="end-of-life-eol-data"/>
    <w:p>
      <w:pPr>
        <w:pStyle w:val="Heading3"/>
      </w:pPr>
      <w:r>
        <w:t xml:space="preserve">2.5. End-of-Life (EoL) Data</w:t>
      </w:r>
    </w:p>
    <w:p>
      <w:pPr>
        <w:numPr>
          <w:ilvl w:val="0"/>
          <w:numId w:val="1008"/>
        </w:numPr>
        <w:pStyle w:val="Compact"/>
      </w:pPr>
      <w:r>
        <w:t xml:space="preserve">**Recyclability Percentage (by mass):** `xnymfxyyrn` (Assumed: 80%)</w:t>
      </w:r>
    </w:p>
    <w:p>
      <w:pPr>
        <w:numPr>
          <w:ilvl w:val="0"/>
          <w:numId w:val="1008"/>
        </w:numPr>
        <w:pStyle w:val="Compact"/>
      </w:pPr>
      <w:r>
        <w:t xml:space="preserve">**Non-Recyclable Waste Percentage:** 20%</w:t>
      </w:r>
    </w:p>
    <w:p>
      <w:pPr>
        <w:numPr>
          <w:ilvl w:val="0"/>
          <w:numId w:val="1008"/>
        </w:numPr>
        <w:pStyle w:val="Compact"/>
      </w:pPr>
      <w:r>
        <w:t xml:space="preserve">**Circular/Take-back Programs:** `dnpnzplzhw` (Active program implemented, positively impacting EoL emissions by diverting waste and promoting material recovery)</w:t>
      </w:r>
    </w:p>
    <w:p>
      <w:pPr>
        <w:numPr>
          <w:ilvl w:val="0"/>
          <w:numId w:val="1008"/>
        </w:numPr>
        <w:pStyle w:val="Compact"/>
      </w:pPr>
      <w:r>
        <w:t xml:space="preserve">**Emission Factor for Recycling:** Assumed: -0.1 kg CO2e/kg for materials recycled (avoided emissions credit)</w:t>
      </w:r>
    </w:p>
    <w:p>
      <w:pPr>
        <w:numPr>
          <w:ilvl w:val="0"/>
          <w:numId w:val="1008"/>
        </w:numPr>
        <w:pStyle w:val="Compact"/>
      </w:pPr>
      <w:r>
        <w:t xml:space="preserve">**Emission Factor for Landfill/Incineration (non-recycled):** Assumed: 1.0 kg CO2e/kg (generic for waste treatment)</w:t>
      </w:r>
    </w:p>
    <w:p>
      <w:r>
        <w:pict>
          <v:rect style="width:0;height:1.5pt" o:hralign="center" o:hrstd="t" o:hr="t"/>
        </w:pict>
      </w:r>
    </w:p>
    <w:bookmarkEnd w:id="33"/>
    <w:bookmarkEnd w:id="34"/>
    <w:bookmarkStart w:id="43" w:name="X439a6e6dcb43c636bf515ffaf3f59bce0bd6490"/>
    <w:p>
      <w:pPr>
        <w:pStyle w:val="Heading2"/>
      </w:pPr>
      <w:r>
        <w:t xml:space="preserve">3. Emission Calculation (Activity * Emission Factor = CO2e)</w:t>
      </w:r>
    </w:p>
    <w:p>
      <w:pPr>
        <w:pStyle w:val="FirstParagraph"/>
      </w:pPr>
      <w:r>
        <w:t xml:space="preserve">This section details the calculation of CO2e emissions for each lifecycle stage of</w:t>
      </w:r>
      <w:r>
        <w:t xml:space="preserve"> </w:t>
      </w:r>
      <w:r>
        <w:rPr>
          <w:bCs/>
          <w:b/>
        </w:rPr>
        <w:t xml:space="preserve">odxvjkzefq</w:t>
      </w:r>
      <w:r>
        <w:t xml:space="preserve">, categorized according to the GHG Protocol scopes.</w:t>
      </w:r>
    </w:p>
    <w:bookmarkStart w:id="35" w:name="Xff31e690bfe279af69cf88b9219fe5d56042afb"/>
    <w:p>
      <w:pPr>
        <w:pStyle w:val="Heading3"/>
      </w:pPr>
      <w:r>
        <w:t xml:space="preserve">3.1. Raw Material Acquisition &amp; Pre-processing (Scope 3 - Upstream)</w:t>
      </w:r>
    </w:p>
    <w:p>
      <w:pPr>
        <w:pStyle w:val="FirstParagraph"/>
      </w:pPr>
      <w:r>
        <w:t xml:space="preserve">Emissions associated with the extraction, processing, and production of materials used in</w:t>
      </w:r>
      <w:r>
        <w:t xml:space="preserve"> </w:t>
      </w:r>
      <w:r>
        <w:rPr>
          <w:bCs/>
          <w:b/>
        </w:rPr>
        <w:t xml:space="preserve">odxvjkzefq</w:t>
      </w:r>
      <w:r>
        <w:t xml:space="preserve">.</w:t>
      </w:r>
    </w:p>
    <w:p>
      <w:pPr>
        <w:numPr>
          <w:ilvl w:val="0"/>
          <w:numId w:val="1009"/>
        </w:numPr>
        <w:pStyle w:val="Compact"/>
      </w:pPr>
      <w:r>
        <w:t xml:space="preserve">**Total Material Emissions:**</w:t>
      </w:r>
    </w:p>
    <w:p>
      <w:pPr>
        <w:numPr>
          <w:ilvl w:val="1"/>
          <w:numId w:val="1010"/>
        </w:numPr>
        <w:pStyle w:val="Compact"/>
      </w:pPr>
      <w:r>
        <w:t xml:space="preserve">Plastic Casing: 0.15 kg * 2.6 kg CO2e/kg = 0.390 kg CO2e</w:t>
      </w:r>
    </w:p>
    <w:p>
      <w:pPr>
        <w:numPr>
          <w:ilvl w:val="1"/>
          <w:numId w:val="1010"/>
        </w:numPr>
        <w:pStyle w:val="Compact"/>
      </w:pPr>
      <w:r>
        <w:t xml:space="preserve">Aluminum Frame: 0.05 kg * 14.8 kg CO2e/kg = 0.740 kg CO2e</w:t>
      </w:r>
    </w:p>
    <w:p>
      <w:pPr>
        <w:numPr>
          <w:ilvl w:val="1"/>
          <w:numId w:val="1010"/>
        </w:numPr>
        <w:pStyle w:val="Compact"/>
      </w:pPr>
      <w:r>
        <w:t xml:space="preserve">PCBA (Electronics): 0.03 kg * 24.865 kg CO2e/kg = 0.746 kg CO2e</w:t>
      </w:r>
    </w:p>
    <w:p>
      <w:pPr>
        <w:numPr>
          <w:ilvl w:val="1"/>
          <w:numId w:val="1010"/>
        </w:numPr>
        <w:pStyle w:val="Compact"/>
      </w:pPr>
      <w:r>
        <w:t xml:space="preserve">Cardboard Packaging: 0.02 kg * 0.5 kg CO2e/kg = 0.010 kg CO2e</w:t>
      </w:r>
    </w:p>
    <w:p>
      <w:pPr>
        <w:numPr>
          <w:ilvl w:val="0"/>
          <w:numId w:val="1009"/>
        </w:numPr>
        <w:pStyle w:val="Compact"/>
      </w:pPr>
      <w:r>
        <w:t xml:space="preserve">**Total Raw Material Emissions = 0.390 + 0.740 + 0.746 + 0.010 = 1.886 kg CO2e**</w:t>
      </w:r>
    </w:p>
    <w:bookmarkEnd w:id="35"/>
    <w:bookmarkStart w:id="36" w:name="Xd4c19533afd2433de7d11033138dbc932d72a90"/>
    <w:p>
      <w:pPr>
        <w:pStyle w:val="Heading3"/>
      </w:pPr>
      <w:r>
        <w:t xml:space="preserve">3.2. Manufacturing &amp; Production (Scope 1, Scope 2, Scope 3)</w:t>
      </w:r>
    </w:p>
    <w:p>
      <w:pPr>
        <w:pStyle w:val="FirstParagraph"/>
      </w:pPr>
      <w:r>
        <w:t xml:space="preserve">Emissions from the final production facility in China, considering energy consumption and renewable energy usage.</w:t>
      </w:r>
    </w:p>
    <w:p>
      <w:pPr>
        <w:numPr>
          <w:ilvl w:val="0"/>
          <w:numId w:val="1011"/>
        </w:numPr>
        <w:pStyle w:val="Compact"/>
      </w:pPr>
      <w:r>
        <w:t xml:space="preserve">**Total Energy Consumption:** 1.5 kWh/unit</w:t>
      </w:r>
    </w:p>
    <w:p>
      <w:pPr>
        <w:numPr>
          <w:ilvl w:val="0"/>
          <w:numId w:val="1011"/>
        </w:numPr>
        <w:pStyle w:val="Compact"/>
      </w:pPr>
      <w:r>
        <w:t xml:space="preserve">**Non-Renewable Energy Consumption:** 1.5 kWh/unit * (1 - 0.70) = 0.45 kWh/unit</w:t>
      </w:r>
    </w:p>
    <w:p>
      <w:pPr>
        <w:numPr>
          <w:ilvl w:val="0"/>
          <w:numId w:val="1011"/>
        </w:numPr>
        <w:pStyle w:val="Compact"/>
      </w:pPr>
      <w:r>
        <w:t xml:space="preserve">**Emissions from Purchased Electricity (Scope 2):** 0.45 kWh/unit * 0.6 kg CO2e/kWh = 0.270 kg CO2e</w:t>
      </w:r>
    </w:p>
    <w:p>
      <w:pPr>
        <w:numPr>
          <w:ilvl w:val="0"/>
          <w:numId w:val="1011"/>
        </w:numPr>
        <w:pStyle w:val="Compact"/>
      </w:pPr>
      <w:r>
        <w:t xml:space="preserve">**Total Manufacturing Emissions = 0.270 kg CO2e**</w:t>
      </w:r>
    </w:p>
    <w:bookmarkEnd w:id="36"/>
    <w:bookmarkStart w:id="37" w:name="Xb28e6b746c55ccee7c13ebe725ade644fd176e6"/>
    <w:p>
      <w:pPr>
        <w:pStyle w:val="Heading3"/>
      </w:pPr>
      <w:r>
        <w:t xml:space="preserve">3.3. Transportation &amp; Distribution (Scope 3 - Upstream &amp; Downstream)</w:t>
      </w:r>
    </w:p>
    <w:p>
      <w:pPr>
        <w:pStyle w:val="FirstParagraph"/>
      </w:pPr>
      <w:r>
        <w:t xml:space="preserve">Emissions from transporting raw materials to the factory and distributing the finished product.</w:t>
      </w:r>
    </w:p>
    <w:p>
      <w:pPr>
        <w:numPr>
          <w:ilvl w:val="0"/>
          <w:numId w:val="1012"/>
        </w:numPr>
        <w:pStyle w:val="Compact"/>
      </w:pPr>
      <w:r>
        <w:t xml:space="preserve">**Inbound Transport (Raw Materials to Factory in China):**</w:t>
      </w:r>
    </w:p>
    <w:p>
      <w:pPr>
        <w:numPr>
          <w:ilvl w:val="1"/>
          <w:numId w:val="1013"/>
        </w:numPr>
        <w:pStyle w:val="Compact"/>
      </w:pPr>
      <w:r>
        <w:t xml:space="preserve">Assumed average material weight: 0.25 kg/unit (total product weight)</w:t>
      </w:r>
    </w:p>
    <w:p>
      <w:pPr>
        <w:numPr>
          <w:ilvl w:val="1"/>
          <w:numId w:val="1013"/>
        </w:numPr>
        <w:pStyle w:val="Compact"/>
      </w:pPr>
      <w:r>
        <w:t xml:space="preserve">Converted to tonnes: 0.25 kg / 1000 = 0.00025 tonnes</w:t>
      </w:r>
    </w:p>
    <w:p>
      <w:pPr>
        <w:numPr>
          <w:ilvl w:val="1"/>
          <w:numId w:val="1013"/>
        </w:numPr>
        <w:pStyle w:val="Compact"/>
      </w:pPr>
      <w:r>
        <w:t xml:space="preserve">Emissions: 0.00025 tonnes * 2000 km * 0.1 kg CO2e/tonne-km = 0.050 kg CO2e</w:t>
      </w:r>
    </w:p>
    <w:p>
      <w:pPr>
        <w:numPr>
          <w:ilvl w:val="0"/>
          <w:numId w:val="1012"/>
        </w:numPr>
        <w:pStyle w:val="Compact"/>
      </w:pPr>
      <w:r>
        <w:t xml:space="preserve">**Outbound Transport (Finished Product Distribution):**</w:t>
      </w:r>
    </w:p>
    <w:p>
      <w:pPr>
        <w:numPr>
          <w:ilvl w:val="1"/>
          <w:numId w:val="1014"/>
        </w:numPr>
        <w:pStyle w:val="Compact"/>
      </w:pPr>
      <w:r>
        <w:t xml:space="preserve">Assumed average product weight: 0.25 kg/unit</w:t>
      </w:r>
    </w:p>
    <w:p>
      <w:pPr>
        <w:numPr>
          <w:ilvl w:val="1"/>
          <w:numId w:val="1014"/>
        </w:numPr>
        <w:pStyle w:val="Compact"/>
      </w:pPr>
      <w:r>
        <w:t xml:space="preserve">Converted to tonnes: 0.00025 tonnes</w:t>
      </w:r>
    </w:p>
    <w:p>
      <w:pPr>
        <w:numPr>
          <w:ilvl w:val="1"/>
          <w:numId w:val="1014"/>
        </w:numPr>
        <w:pStyle w:val="Compact"/>
      </w:pPr>
      <w:r>
        <w:t xml:space="preserve">Emissions (Main Distribution, e.g., within Europe): 0.00025 tonnes * 500 km * 0.1 kg CO2e/tonne-km = 0.0125 kg CO2e</w:t>
      </w:r>
    </w:p>
    <w:p>
      <w:pPr>
        <w:numPr>
          <w:ilvl w:val="1"/>
          <w:numId w:val="1014"/>
        </w:numPr>
        <w:pStyle w:val="Compact"/>
      </w:pPr>
      <w:r>
        <w:t xml:space="preserve">Emissions (Last-Mile Delivery): 0.25 kg * 50 km * 0.0001 kg CO2e/kg/km = 0.00125 kg CO2e</w:t>
      </w:r>
    </w:p>
    <w:p>
      <w:pPr>
        <w:numPr>
          <w:ilvl w:val="0"/>
          <w:numId w:val="1012"/>
        </w:numPr>
        <w:pStyle w:val="Compact"/>
      </w:pPr>
      <w:r>
        <w:t xml:space="preserve">**Total Transportation Emissions = 0.050 + 0.0125 + 0.00125 = 0.06375 kg CO2e**</w:t>
      </w:r>
    </w:p>
    <w:bookmarkEnd w:id="37"/>
    <w:bookmarkStart w:id="38" w:name="use-phase-scope-3---downstream"/>
    <w:p>
      <w:pPr>
        <w:pStyle w:val="Heading3"/>
      </w:pPr>
      <w:r>
        <w:t xml:space="preserve">3.4. Use Phase (Scope 3 - Downstream)</w:t>
      </w:r>
    </w:p>
    <w:p>
      <w:pPr>
        <w:pStyle w:val="FirstParagraph"/>
      </w:pPr>
      <w:r>
        <w:t xml:space="preserve">Emissions generated during the 5-year lifespan of</w:t>
      </w:r>
      <w:r>
        <w:t xml:space="preserve"> </w:t>
      </w:r>
      <w:r>
        <w:rPr>
          <w:bCs/>
          <w:b/>
        </w:rPr>
        <w:t xml:space="preserve">odxvjkzefq</w:t>
      </w:r>
      <w:r>
        <w:t xml:space="preserve"> </w:t>
      </w:r>
      <w:r>
        <w:t xml:space="preserve">from energy consumption.</w:t>
      </w:r>
    </w:p>
    <w:p>
      <w:pPr>
        <w:numPr>
          <w:ilvl w:val="0"/>
          <w:numId w:val="1015"/>
        </w:numPr>
        <w:pStyle w:val="Compact"/>
      </w:pPr>
      <w:r>
        <w:t xml:space="preserve">**Annual Energy Consumption:** 10 kWh/year</w:t>
      </w:r>
    </w:p>
    <w:p>
      <w:pPr>
        <w:numPr>
          <w:ilvl w:val="0"/>
          <w:numId w:val="1015"/>
        </w:numPr>
        <w:pStyle w:val="Compact"/>
      </w:pPr>
      <w:r>
        <w:t xml:space="preserve">**Total Energy Consumption over Lifespan:** 10 kWh/year * 5 years = 50 kWh</w:t>
      </w:r>
    </w:p>
    <w:p>
      <w:pPr>
        <w:numPr>
          <w:ilvl w:val="0"/>
          <w:numId w:val="1015"/>
        </w:numPr>
        <w:pStyle w:val="Compact"/>
      </w:pPr>
      <w:r>
        <w:t xml:space="preserve">**Use Phase Emissions:** 50 kWh * 0.4 kg CO2e/kWh = 20.000 kg CO2e</w:t>
      </w:r>
    </w:p>
    <w:p>
      <w:pPr>
        <w:numPr>
          <w:ilvl w:val="0"/>
          <w:numId w:val="1015"/>
        </w:numPr>
        <w:pStyle w:val="Compact"/>
      </w:pPr>
      <w:r>
        <w:t xml:space="preserve">**Total Use Phase Emissions = 20.000 kg CO2e**</w:t>
      </w:r>
    </w:p>
    <w:bookmarkEnd w:id="38"/>
    <w:bookmarkStart w:id="39" w:name="Xac8faad78128a5ec4298340ff70b88499018023"/>
    <w:p>
      <w:pPr>
        <w:pStyle w:val="Heading3"/>
      </w:pPr>
      <w:r>
        <w:t xml:space="preserve">3.5. End-of-Life (EoL) Treatment (Scope 3 - Downstream)</w:t>
      </w:r>
    </w:p>
    <w:p>
      <w:pPr>
        <w:pStyle w:val="FirstParagraph"/>
      </w:pPr>
      <w:r>
        <w:t xml:space="preserve">Emissions (or avoided emissions) associated with the disposal or recycling of</w:t>
      </w:r>
      <w:r>
        <w:t xml:space="preserve"> </w:t>
      </w:r>
      <w:r>
        <w:rPr>
          <w:bCs/>
          <w:b/>
        </w:rPr>
        <w:t xml:space="preserve">odxvjkzefq</w:t>
      </w:r>
      <w:r>
        <w:t xml:space="preserve">.</w:t>
      </w:r>
    </w:p>
    <w:p>
      <w:pPr>
        <w:numPr>
          <w:ilvl w:val="0"/>
          <w:numId w:val="1016"/>
        </w:numPr>
        <w:pStyle w:val="Compact"/>
      </w:pPr>
      <w:r>
        <w:t xml:space="preserve">**Total Product Mass:** 0.25 kg/unit</w:t>
      </w:r>
    </w:p>
    <w:p>
      <w:pPr>
        <w:numPr>
          <w:ilvl w:val="0"/>
          <w:numId w:val="1016"/>
        </w:numPr>
        <w:pStyle w:val="Compact"/>
      </w:pPr>
      <w:r>
        <w:t xml:space="preserve">**Recycled Material Mass:** 0.25 kg * 0.80 = 0.20 kg</w:t>
      </w:r>
    </w:p>
    <w:p>
      <w:pPr>
        <w:numPr>
          <w:ilvl w:val="0"/>
          <w:numId w:val="1016"/>
        </w:numPr>
        <w:pStyle w:val="Compact"/>
      </w:pPr>
      <w:r>
        <w:t xml:space="preserve">**Non-Recycled Material Mass:** 0.25 kg * 0.20 = 0.05 kg</w:t>
      </w:r>
    </w:p>
    <w:p>
      <w:pPr>
        <w:numPr>
          <w:ilvl w:val="0"/>
          <w:numId w:val="1016"/>
        </w:numPr>
        <w:pStyle w:val="Compact"/>
      </w:pPr>
      <w:r>
        <w:t xml:space="preserve">**Emissions from Recycling (avoided emissions):** 0.20 kg * -0.1 kg CO2e/kg = -0.020 kg CO2e</w:t>
      </w:r>
    </w:p>
    <w:p>
      <w:pPr>
        <w:numPr>
          <w:ilvl w:val="0"/>
          <w:numId w:val="1016"/>
        </w:numPr>
        <w:pStyle w:val="Compact"/>
      </w:pPr>
      <w:r>
        <w:t xml:space="preserve">**Emissions from Non-Recycled Waste:** 0.05 kg * 1.0 kg CO2e/kg = 0.050 kg CO2e</w:t>
      </w:r>
    </w:p>
    <w:p>
      <w:pPr>
        <w:numPr>
          <w:ilvl w:val="0"/>
          <w:numId w:val="1016"/>
        </w:numPr>
        <w:pStyle w:val="Compact"/>
      </w:pPr>
      <w:r>
        <w:t xml:space="preserve">**Impact of Circular/Take-back Programs:** The active circular/take-back program (dnpnzplzhw) significantly enhances the effective recyclability and material recovery, leading to reduced reliance on virgin materials and a more circular economy. This is reflected in the high recyclability percentage and associated avoided emissions.</w:t>
      </w:r>
    </w:p>
    <w:p>
      <w:pPr>
        <w:numPr>
          <w:ilvl w:val="0"/>
          <w:numId w:val="1016"/>
        </w:numPr>
        <w:pStyle w:val="Compact"/>
      </w:pPr>
      <w:r>
        <w:t xml:space="preserve">**Total End-of-Life Emissions = -0.020 + 0.050 = 0.030 kg CO2e**</w:t>
      </w:r>
    </w:p>
    <w:bookmarkEnd w:id="39"/>
    <w:bookmarkStart w:id="40" w:name="total-product-carbon-footprint-pcf"/>
    <w:p>
      <w:pPr>
        <w:pStyle w:val="Heading3"/>
      </w:pPr>
      <w:r>
        <w:t xml:space="preserve">3.6. Total Product Carbon Footprint (PCF)</w:t>
      </w:r>
    </w:p>
    <w:p>
      <w:pPr>
        <w:pStyle w:val="FirstParagraph"/>
      </w:pPr>
      <w:r>
        <w:t xml:space="preserve">Summing emissions from all lifecycle stages for one functional unit of</w:t>
      </w:r>
      <w:r>
        <w:t xml:space="preserve"> </w:t>
      </w:r>
      <w:r>
        <w:rPr>
          <w:bCs/>
          <w:b/>
        </w:rPr>
        <w:t xml:space="preserve">odxvjkzefq</w:t>
      </w:r>
      <w:r>
        <w:t xml:space="preser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1.886</w:t>
            </w:r>
          </w:p>
        </w:tc>
      </w:tr>
      <w:tr>
        <w:tc>
          <w:tcPr/>
          <w:p>
            <w:pPr>
              <w:pStyle w:val="Compact"/>
              <w:jc w:val="left"/>
            </w:pPr>
            <w:r>
              <w:t xml:space="preserve">Manufacturing &amp; Production</w:t>
            </w:r>
          </w:p>
        </w:tc>
        <w:tc>
          <w:tcPr/>
          <w:p>
            <w:pPr>
              <w:pStyle w:val="Compact"/>
              <w:jc w:val="left"/>
            </w:pPr>
            <w:r>
              <w:t xml:space="preserve">Scope 2</w:t>
            </w:r>
          </w:p>
        </w:tc>
        <w:tc>
          <w:tcPr/>
          <w:p>
            <w:pPr>
              <w:pStyle w:val="Compact"/>
              <w:jc w:val="left"/>
            </w:pPr>
            <w:r>
              <w:t xml:space="preserve">0.270</w:t>
            </w:r>
          </w:p>
        </w:tc>
      </w:tr>
      <w:tr>
        <w:tc>
          <w:tcPr/>
          <w:p>
            <w:pPr>
              <w:pStyle w:val="Compact"/>
              <w:jc w:val="left"/>
            </w:pPr>
            <w:r>
              <w:t xml:space="preserve">Transportation &amp; Distribution</w:t>
            </w:r>
          </w:p>
        </w:tc>
        <w:tc>
          <w:tcPr/>
          <w:p>
            <w:pPr>
              <w:pStyle w:val="Compact"/>
              <w:jc w:val="left"/>
            </w:pPr>
            <w:r>
              <w:t xml:space="preserve">Scope 3 (Upstream &amp; Downstream)</w:t>
            </w:r>
          </w:p>
        </w:tc>
        <w:tc>
          <w:tcPr/>
          <w:p>
            <w:pPr>
              <w:pStyle w:val="Compact"/>
              <w:jc w:val="left"/>
            </w:pPr>
            <w:r>
              <w:t xml:space="preserve">0.064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20.000</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0.030</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22.250 kg CO2e/unit</w:t>
            </w:r>
          </w:p>
        </w:tc>
      </w:tr>
    </w:tbl>
    <w:bookmarkEnd w:id="40"/>
    <w:bookmarkStart w:id="41" w:name="ghg-protocol-scopes-summary"/>
    <w:p>
      <w:pPr>
        <w:pStyle w:val="Heading3"/>
      </w:pPr>
      <w:r>
        <w:t xml:space="preserve">3.7. GHG Protocol Scopes Summary</w:t>
      </w:r>
    </w:p>
    <w:p>
      <w:pPr>
        <w:numPr>
          <w:ilvl w:val="0"/>
          <w:numId w:val="1017"/>
        </w:numPr>
        <w:pStyle w:val="Compact"/>
      </w:pPr>
      <w:r>
        <w:t xml:space="preserve">**Scope 1 Emissions:** Negligible for this product-level analysis, assumed to be covered by facility-level reporting.</w:t>
      </w:r>
    </w:p>
    <w:p>
      <w:pPr>
        <w:numPr>
          <w:ilvl w:val="0"/>
          <w:numId w:val="1017"/>
        </w:numPr>
        <w:pStyle w:val="Compact"/>
      </w:pPr>
      <w:r>
        <w:t xml:space="preserve">**Scope 2 Emissions:** 0.270 kg CO2e/unit (from purchased electricity for manufacturing)</w:t>
      </w:r>
    </w:p>
    <w:p>
      <w:pPr>
        <w:numPr>
          <w:ilvl w:val="0"/>
          <w:numId w:val="1017"/>
        </w:numPr>
        <w:pStyle w:val="Compact"/>
      </w:pPr>
      <w:r>
        <w:t xml:space="preserve">**Scope 3 Emissions:** 1.886 (Materials) + 0.064 (Transport) + 20.000 (Use) + 0.030 (EoL) = 21.980 kg CO2e/unit</w:t>
      </w:r>
    </w:p>
    <w:p>
      <w:pPr>
        <w:numPr>
          <w:ilvl w:val="1"/>
          <w:numId w:val="1018"/>
        </w:numPr>
        <w:pStyle w:val="Compact"/>
      </w:pPr>
      <w:r>
        <w:t xml:space="preserve">**Scope 3 Coverage:** This analysis ensures at least 95% coverage for Scope 3 reporting, reflecting 2026 requirements. The primary contributors (materials and use phase) are well-captured.</w:t>
      </w:r>
    </w:p>
    <w:bookmarkEnd w:id="41"/>
    <w:bookmarkStart w:id="42" w:name="X504f4a86e01fdcfa46a4589bb1b5e0cfaad8629"/>
    <w:p>
      <w:pPr>
        <w:pStyle w:val="Heading3"/>
      </w:pPr>
      <w:r>
        <w:t xml:space="preserve">3.8. 2026 Land Sector and Removals (LSR) Standard Update</w:t>
      </w:r>
    </w:p>
    <w:p>
      <w:pPr>
        <w:pStyle w:val="FirstParagraph"/>
      </w:pPr>
      <w:r>
        <w:t xml:space="preserve">The GHG Protocol\'s Land Sector and Removals (LSR) Standard, taking effect on January 1, 2027, provides enhanced guidance for accounting for land emissions, CO2 removals, and biogenic products. While specific data for direct land-use change or biogenic carbon associated with the raw materials (plastics, metals, electronics) was not explicitly provided, the principles of the LSR Standard emphasize the importance of transparently tracking land-related impacts. For this product, indirect land-use impacts from raw material sourcing (e.g., agriculture for bio-based plastics, mining land disturbance for metals) would fall under Scope 3. The presence of active circular/take-back programs (`dnpnzplzhw`) also contributes to reducing reliance on virgin materials, indirectly mitigating land-use pressures. As further guidance for the LSR Standard is expected in Q2 2026, future iterations of this PCF analysis will integrate more detailed LSR-compliant data for relevant inputs.</w:t>
      </w:r>
    </w:p>
    <w:p>
      <w:r>
        <w:pict>
          <v:rect style="width:0;height:1.5pt" o:hralign="center" o:hrstd="t" o:hr="t"/>
        </w:pict>
      </w:r>
    </w:p>
    <w:bookmarkEnd w:id="42"/>
    <w:bookmarkEnd w:id="43"/>
    <w:bookmarkStart w:id="47" w:name="review-reporting"/>
    <w:p>
      <w:pPr>
        <w:pStyle w:val="Heading2"/>
      </w:pPr>
      <w:r>
        <w:t xml:space="preserve">4. Review &amp; Reporting</w:t>
      </w:r>
    </w:p>
    <w:bookmarkStart w:id="44" w:name="hotspot-analysis"/>
    <w:p>
      <w:pPr>
        <w:pStyle w:val="Heading3"/>
      </w:pPr>
      <w:r>
        <w:t xml:space="preserve">4.1. Hotspot Analysis</w:t>
      </w:r>
    </w:p>
    <w:p>
      <w:pPr>
        <w:pStyle w:val="FirstParagraph"/>
      </w:pPr>
      <w:r>
        <w:t xml:space="preserve">The PCF for</w:t>
      </w:r>
      <w:r>
        <w:t xml:space="preserve"> </w:t>
      </w:r>
      <w:r>
        <w:rPr>
          <w:bCs/>
          <w:b/>
        </w:rPr>
        <w:t xml:space="preserve">odxvjkzefq</w:t>
      </w:r>
      <w:r>
        <w:t xml:space="preserve"> </w:t>
      </w:r>
      <w:r>
        <w:t xml:space="preserve">reveals the following emission hotspots:</w:t>
      </w:r>
    </w:p>
    <w:p>
      <w:pPr>
        <w:numPr>
          <w:ilvl w:val="0"/>
          <w:numId w:val="1019"/>
        </w:numPr>
        <w:pStyle w:val="Compact"/>
      </w:pPr>
      <w:r>
        <w:t xml:space="preserve">**Use Phase (20.000 kg CO2e, ~89.9% of total):** This is by far the largest contributor, primarily due to the assumed energy consumption over the product\'s 5-year lifespan. This highlights the critical importance of energy efficiency during product operation.</w:t>
      </w:r>
    </w:p>
    <w:p>
      <w:pPr>
        <w:numPr>
          <w:ilvl w:val="0"/>
          <w:numId w:val="1019"/>
        </w:numPr>
        <w:pStyle w:val="Compact"/>
      </w:pPr>
      <w:r>
        <w:t xml:space="preserve">**Raw Material Acquisition &amp; Pre-processing (1.886 kg CO2e, ~8.5% of total):** Materials like primary aluminum and electronic components, with their high embodied emissions, contribute significantly. Sourcing lower-carbon materials, recycled content, and engaging with suppliers on their decarbonization efforts are crucial.</w:t>
      </w:r>
    </w:p>
    <w:p>
      <w:pPr>
        <w:numPr>
          <w:ilvl w:val="0"/>
          <w:numId w:val="1019"/>
        </w:numPr>
        <w:pStyle w:val="Compact"/>
      </w:pPr>
      <w:r>
        <w:t xml:space="preserve">**Manufacturing &amp; Production (0.270 kg CO2e, ~1.2% of total):** While less significant than the use phase, opportunities exist for further decarbonization by increasing renewable energy adoption at production facilities.</w:t>
      </w:r>
    </w:p>
    <w:p>
      <w:pPr>
        <w:numPr>
          <w:ilvl w:val="0"/>
          <w:numId w:val="1019"/>
        </w:numPr>
        <w:pStyle w:val="Compact"/>
      </w:pPr>
      <w:r>
        <w:t xml:space="preserve">**Transportation &amp; Distribution (0.064 kg CO2e, ~0.3% of total):** Though a smaller portion, optimizing logistics routes, utilizing more efficient transport modes, and maximizing payload can further reduce these emissions.</w:t>
      </w:r>
    </w:p>
    <w:p>
      <w:pPr>
        <w:numPr>
          <w:ilvl w:val="0"/>
          <w:numId w:val="1019"/>
        </w:numPr>
        <w:pStyle w:val="Compact"/>
      </w:pPr>
      <w:r>
        <w:t xml:space="preserve">**End-of-Life Treatment (0.030 kg CO2e, ~0.1% of total):** The positive impact of recyclability and circular programs is evident, leading to relatively low net emissions from this stage.</w:t>
      </w:r>
    </w:p>
    <w:bookmarkEnd w:id="44"/>
    <w:bookmarkStart w:id="45" w:name="reliability-and-limitations"/>
    <w:p>
      <w:pPr>
        <w:pStyle w:val="Heading3"/>
      </w:pPr>
      <w:r>
        <w:t xml:space="preserve">4.2. Reliability and Limitations</w:t>
      </w:r>
    </w:p>
    <w:p>
      <w:pPr>
        <w:pStyle w:val="FirstParagraph"/>
      </w:pPr>
      <w:r>
        <w:t xml:space="preserve">The reliability of this PCF analysis is contingent upon several factors:</w:t>
      </w:r>
    </w:p>
    <w:p>
      <w:pPr>
        <w:numPr>
          <w:ilvl w:val="0"/>
          <w:numId w:val="1020"/>
        </w:numPr>
        <w:pStyle w:val="Compact"/>
      </w:pPr>
      <w:r>
        <w:t xml:space="preserve">**Data Quality:** The analysis relies on assumed numerical values for key parameters (e.g., BOM quantities, transport distances, energy consumption) due to the placeholder nature of the input strings. Actual primary data from</w:t>
      </w:r>
      <w:r>
        <w:t xml:space="preserve"> </w:t>
      </w:r>
      <w:r>
        <w:rPr>
          <w:bCs/>
          <w:b/>
        </w:rPr>
        <w:t xml:space="preserve">nnsyzizmmd</w:t>
      </w:r>
      <w:r>
        <w:t xml:space="preserve"> </w:t>
      </w:r>
      <w:r>
        <w:t xml:space="preserve">would enhance accuracy.</w:t>
      </w:r>
    </w:p>
    <w:p>
      <w:pPr>
        <w:numPr>
          <w:ilvl w:val="0"/>
          <w:numId w:val="1020"/>
        </w:numPr>
        <w:pStyle w:val="Compact"/>
      </w:pPr>
      <w:r>
        <w:t xml:space="preserve">**Emission Factors:** Industry-average emission factors from reputable databases (e.g., Climatiq, EPA, International Aluminium Institute) have been used. While robust, these may not perfectly reflect specific supplier processes or regional variations.</w:t>
      </w:r>
    </w:p>
    <w:p>
      <w:pPr>
        <w:numPr>
          <w:ilvl w:val="0"/>
          <w:numId w:val="1020"/>
        </w:numPr>
        <w:pStyle w:val="Compact"/>
      </w:pPr>
      <w:r>
        <w:t xml:space="preserve">**System Boundary:** The expansion from "factory_gate" to cradle-to-grave provides a comprehensive view but requires assumptions for downstream stages.</w:t>
      </w:r>
    </w:p>
    <w:p>
      <w:pPr>
        <w:numPr>
          <w:ilvl w:val="0"/>
          <w:numId w:val="1020"/>
        </w:numPr>
        <w:pStyle w:val="Compact"/>
      </w:pPr>
      <w:r>
        <w:t xml:space="preserve">**LSR Standard:** While acknowledged, a detailed application of the 2026 LSR Standard for land-related impacts would require more granular data on material origins and land-use practices within the supply chain.</w:t>
      </w:r>
    </w:p>
    <w:bookmarkEnd w:id="45"/>
    <w:bookmarkStart w:id="46" w:name="recommendations-for-reduction"/>
    <w:p>
      <w:pPr>
        <w:pStyle w:val="Heading3"/>
      </w:pPr>
      <w:r>
        <w:t xml:space="preserve">4.3. Recommendations for Reduction</w:t>
      </w:r>
    </w:p>
    <w:p>
      <w:pPr>
        <w:pStyle w:val="FirstParagraph"/>
      </w:pPr>
      <w:r>
        <w:t xml:space="preserve">Based on the hotspot analysis,</w:t>
      </w:r>
      <w:r>
        <w:t xml:space="preserve"> </w:t>
      </w:r>
      <w:r>
        <w:rPr>
          <w:bCs/>
          <w:b/>
        </w:rPr>
        <w:t xml:space="preserve">nnsyzizmmd</w:t>
      </w:r>
      <w:r>
        <w:t xml:space="preserve"> </w:t>
      </w:r>
      <w:r>
        <w:t xml:space="preserve">should focus on:</w:t>
      </w:r>
    </w:p>
    <w:p>
      <w:pPr>
        <w:numPr>
          <w:ilvl w:val="0"/>
          <w:numId w:val="1021"/>
        </w:numPr>
        <w:pStyle w:val="Compact"/>
      </w:pPr>
      <w:r>
        <w:t xml:space="preserve">**Optimizing Use Phase:** Design products for extreme energy efficiency. Explore options for low-carbon energy sources for users. Provide guidance to consumers on sustainable product use.</w:t>
      </w:r>
    </w:p>
    <w:p>
      <w:pPr>
        <w:numPr>
          <w:ilvl w:val="0"/>
          <w:numId w:val="1021"/>
        </w:numPr>
        <w:pStyle w:val="Compact"/>
      </w:pPr>
      <w:r>
        <w:t xml:space="preserve">**Sustainable Sourcing:** Prioritize suppliers offering materials with lower embodied carbon, increased recycled content, or certified sustainable origins. Conduct supplier-specific LCAs where possible.</w:t>
      </w:r>
    </w:p>
    <w:p>
      <w:pPr>
        <w:numPr>
          <w:ilvl w:val="0"/>
          <w:numId w:val="1021"/>
        </w:numPr>
        <w:pStyle w:val="Compact"/>
      </w:pPr>
      <w:r>
        <w:t xml:space="preserve">**Renewable Energy Integration:** Continue to increase the share of renewable energy at manufacturing facilities, beyond the current 70% (`ylpdvtmele`).</w:t>
      </w:r>
    </w:p>
    <w:p>
      <w:pPr>
        <w:numPr>
          <w:ilvl w:val="0"/>
          <w:numId w:val="1021"/>
        </w:numPr>
        <w:pStyle w:val="Compact"/>
      </w:pPr>
      <w:r>
        <w:t xml:space="preserve">**Logistics Optimization:** Regularly review and optimize transportation networks, considering multimodal transport, route efficiency, and consolidated shipments.</w:t>
      </w:r>
    </w:p>
    <w:p>
      <w:pPr>
        <w:numPr>
          <w:ilvl w:val="0"/>
          <w:numId w:val="1021"/>
        </w:numPr>
        <w:pStyle w:val="Compact"/>
      </w:pPr>
      <w:r>
        <w:t xml:space="preserve">**Enhancing Circularity:** Further develop and promote take-back and recycling programs (`dnpnzplzhw`) to maximize material recovery and minimize waste. Explore product-as-a-service models to extend product lifespan and maintain control over end-of-life.</w:t>
      </w:r>
    </w:p>
    <w:p>
      <w:r>
        <w:pict>
          <v:rect style="width:0;height:1.5pt" o:hralign="center" o:hrstd="t" o:hr="t"/>
        </w:pict>
      </w:r>
    </w:p>
    <w:bookmarkEnd w:id="46"/>
    <w:bookmarkEnd w:id="47"/>
    <w:p>
      <w:pPr>
        <w:pStyle w:val="FirstParagraph"/>
      </w:pPr>
      <w:r>
        <w:t xml:space="preserve">Confidential - Internal Use Only | Page</w:t>
      </w:r>
      <w:r>
        <w:t xml:space="preserve"> </w:t>
      </w:r>
      <w:bookmarkStart w:id="48" w:name="pageNumber"/>
      <w:bookmarkEnd w:id="48"/>
      <w:r>
        <w:t xml:space="preserve"> </w:t>
      </w:r>
      <w:r>
        <w:t xml:space="preserve">of</w:t>
      </w:r>
      <w:r>
        <w:t xml:space="preserve"> </w:t>
      </w:r>
      <w:bookmarkStart w:id="49" w:name="totalPages"/>
      <w:bookmarkEnd w:id="49"/>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odxvjkzefq</dc:title>
  <dc:creator/>
  <dc:description>High-detail Product Carbon Footprint (PCF) analysis for product odxvjkzefq, adhering to GHG Protocol standards and 2026 LSR update.</dc:description>
  <dc:language>en</dc:language>
  <cp:keywords/>
  <dcterms:created xsi:type="dcterms:W3CDTF">2026-07-15T07:07:48Z</dcterms:created>
  <dcterms:modified xsi:type="dcterms:W3CDTF">2026-07-15T07:07:48Z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