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nzxqwergeu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nzxqwergeu</w:t>
      </w:r>
    </w:p>
    <w:p>
      <w:pPr>
        <w:pStyle w:val="BodyText"/>
      </w:pPr>
      <w:r>
        <w:t xml:space="preserve">Company: xygvppspgx</w:t>
      </w:r>
    </w:p>
    <w:p>
      <w:pPr>
        <w:pStyle w:val="BodyText"/>
      </w:pPr>
      <w:r>
        <w:t xml:space="preserve">Accounting Standard: GHG Protocol</w:t>
      </w:r>
    </w:p>
    <w:p>
      <w:pPr>
        <w:pStyle w:val="BodyText"/>
      </w:pPr>
      <w:r>
        <w:t xml:space="preserve">Senior Sustainability Consultant: ijdpqjlvzv</w:t>
      </w:r>
    </w:p>
    <w:p>
      <w:pPr>
        <w:pStyle w:val="BodyText"/>
      </w:pPr>
      <w:r>
        <w:t xml:space="preserve">This report is generated based on available data and industry standards for estimating the Product Carbon Footprint (PCF). All calculations are indicative and rely on the accuracy of provided parameters and generic emission factors where primary data is unavailable.</w:t>
      </w:r>
    </w:p>
    <w:bookmarkEnd w:id="20"/>
    <w:bookmarkStart w:id="4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ijdpqjlvzv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"nzxqwergeu" manufactured by xygvppspgx. The analysis strictly adheres to the GHG Protocol Corporate Standard, including specific consideration for the 2026 Land Sector and Removals (LSR) update and ensuring robust Scope 3 coverage. The PCF quantifies the total greenhouse gas (GHG) emissions associated with the product\'s lifecycle, from raw material extraction to end-of-life (cradle-to-gate with significant downstream Scope 3 elements, encompassing use phase and end-of-life impacts for a comprehensive perspective). The total carbon footprint for one functional unit of nzxqwergeu is calculated to be **20.64 kg CO2e**.</w:t>
      </w:r>
    </w:p>
    <w:p>
      <w:pPr>
        <w:pStyle w:val="BodyText"/>
      </w:pPr>
      <w:r>
        <w:t xml:space="preserve">Key emission hotspots have been identified across the lifecycle, with significant contributions from the production phase\'s purchased electricity and the product\'s use phase. Recommendations are provided to guide xygvppspgx in reducing its environmental impact and advancing its sustainability goals.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nzxqwergeu follows a five-step methodology in accordance with the GHG Protocol, ensuring a comprehensive and standardized approach:</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nzxqwergeu.</w:t>
      </w:r>
    </w:p>
    <w:p>
      <w:pPr>
        <w:numPr>
          <w:ilvl w:val="1"/>
          <w:numId w:val="1002"/>
        </w:numPr>
        <w:pStyle w:val="Compact"/>
      </w:pPr>
      <w:r>
        <w:rPr>
          <w:bCs/>
          <w:b/>
        </w:rPr>
        <w:t xml:space="preserve">System Boundary:</w:t>
      </w:r>
      <w:r>
        <w:t xml:space="preserve"> </w:t>
      </w:r>
      <w:r>
        <w:t xml:space="preserve">factory_gate. While the primary system boundary is \'factory_gate\', this analysis incorporates significant downstream Scope 3 categories (Use Phase and End-of-Life) to provide a more holistic view of the product\'s environmental impact across its entire lifespan.</w:t>
      </w:r>
    </w:p>
    <w:p>
      <w:pPr>
        <w:numPr>
          <w:ilvl w:val="1"/>
          <w:numId w:val="1002"/>
        </w:numPr>
        <w:pStyle w:val="Compact"/>
      </w:pPr>
      <w:r>
        <w:rPr>
          <w:bCs/>
          <w:b/>
        </w:rPr>
        <w:t xml:space="preserve">Geographic Scope:</w:t>
      </w:r>
      <w:r>
        <w:t xml:space="preserve"> </w:t>
      </w:r>
      <w:r>
        <w:t xml:space="preserve">Final Production Country: China. Supply Chain Focus: Europe Focused (for upstream transport to China). Use Phase and End-of-Life assumed to reflect typical consumer markets.</w:t>
      </w:r>
    </w:p>
    <w:p>
      <w:pPr>
        <w:numPr>
          <w:ilvl w:val="1"/>
          <w:numId w:val="1002"/>
        </w:numPr>
        <w:pStyle w:val="Compact"/>
      </w:pPr>
      <w:r>
        <w:rPr>
          <w:bCs/>
          <w:b/>
        </w:rPr>
        <w:t xml:space="preserve">Accounting Standard:</w:t>
      </w:r>
      <w:r>
        <w:t xml:space="preserve"> </w:t>
      </w:r>
      <w:r>
        <w:t xml:space="preserve">GHG Protocol Corporate Standard. This report also considers the anticipated requirements of the 2026 Land Sector and Removals (LSR) Standard for land use and carbon removals, though specific land-use data for this generic product was not available for granular calculation.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For multi-functional processes, mass-based allocation is assumed where specific data is not available.</w:t>
      </w:r>
    </w:p>
    <w:p>
      <w:pPr>
        <w:numPr>
          <w:ilvl w:val="0"/>
          <w:numId w:val="1001"/>
        </w:numPr>
        <w:pStyle w:val="Compact"/>
      </w:pPr>
      <w:r>
        <w:rPr>
          <w:bCs/>
          <w:b/>
        </w:rPr>
        <w:t xml:space="preserve">Map Lifecycle (LCI Inventory Stages):</w:t>
      </w:r>
      <w:r>
        <w:t xml:space="preserve"> </w:t>
      </w:r>
      <w:r>
        <w:t xml:space="preserve">The lifecycle of nzxqwergeu has been mapped to include all relevant stages:</w:t>
      </w:r>
    </w:p>
    <w:p>
      <w:pPr>
        <w:numPr>
          <w:ilvl w:val="1"/>
          <w:numId w:val="1003"/>
        </w:numPr>
        <w:pStyle w:val="Compact"/>
      </w:pPr>
      <w:r>
        <w:t xml:space="preserve">Raw Material Acquisition &amp; Pre-processing (covered by Detailed Bill of Materials)</w:t>
      </w:r>
    </w:p>
    <w:p>
      <w:pPr>
        <w:numPr>
          <w:ilvl w:val="1"/>
          <w:numId w:val="1003"/>
        </w:numPr>
        <w:pStyle w:val="Compact"/>
      </w:pPr>
      <w:r>
        <w:t xml:space="preserve">Manufacturing/Production (including energy consumption at the factory)</w:t>
      </w:r>
    </w:p>
    <w:p>
      <w:pPr>
        <w:numPr>
          <w:ilvl w:val="1"/>
          <w:numId w:val="1003"/>
        </w:numPr>
        <w:pStyle w:val="Compact"/>
      </w:pPr>
      <w:r>
        <w:t xml:space="preserve">Transportation (upstream to factory, and downstream to customer)</w:t>
      </w:r>
    </w:p>
    <w:p>
      <w:pPr>
        <w:numPr>
          <w:ilvl w:val="1"/>
          <w:numId w:val="1003"/>
        </w:numPr>
        <w:pStyle w:val="Compact"/>
      </w:pPr>
      <w:r>
        <w:t xml:space="preserve">Product Use Phase</w:t>
      </w:r>
    </w:p>
    <w:p>
      <w:pPr>
        <w:numPr>
          <w:ilvl w:val="1"/>
          <w:numId w:val="1003"/>
        </w:numPr>
        <w:pStyle w:val="Compact"/>
      </w:pPr>
      <w:r>
        <w:t xml:space="preserve">End-of-Life Treatment (disposal/recycling)</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Company-specific details for BOM, energy usage, transport distance, product lifespan, energy consumption in use, recyclability, and circular programs were directly utilized.</w:t>
      </w:r>
    </w:p>
    <w:p>
      <w:pPr>
        <w:numPr>
          <w:ilvl w:val="1"/>
          <w:numId w:val="1004"/>
        </w:numPr>
        <w:pStyle w:val="Compact"/>
      </w:pPr>
      <w:r>
        <w:rPr>
          <w:bCs/>
          <w:b/>
        </w:rPr>
        <w:t xml:space="preserve">Secondary Data:</w:t>
      </w:r>
      <w:r>
        <w:t xml:space="preserve"> </w:t>
      </w:r>
      <w:r>
        <w:t xml:space="preserve">Industry-standard emission factors were sourced from reputable databases (e.g., IEA, European Environment Agency, McKinnon, Consumer Ecology) for electricity grids, transportation modes, and general end-of-life scenarios where primary data was not specified.</w:t>
      </w:r>
    </w:p>
    <w:p>
      <w:pPr>
        <w:numPr>
          <w:ilvl w:val="0"/>
          <w:numId w:val="1001"/>
        </w:numPr>
        <w:pStyle w:val="Compact"/>
      </w:pPr>
      <w:r>
        <w:rPr>
          <w:bCs/>
          <w:b/>
        </w:rPr>
        <w:t xml:space="preserve">Calculate Emissions (Activity * Emission Factor = CO2e):</w:t>
      </w:r>
      <w:r>
        <w:t xml:space="preserve"> </w:t>
      </w:r>
      <w:r>
        <w:t xml:space="preserve">Emissions are calculated for each stage of the product lifecycle by multiplying the activity data (e.g., kWh of electricity, tkm of transport) by the corresponding emission factors. Emissions are categorized according to the GHG Protocol Scope definitions.</w:t>
      </w:r>
    </w:p>
    <w:p>
      <w:pPr>
        <w:numPr>
          <w:ilvl w:val="0"/>
          <w:numId w:val="1001"/>
        </w:numPr>
        <w:pStyle w:val="Compact"/>
      </w:pPr>
      <w:r>
        <w:rPr>
          <w:bCs/>
          <w:b/>
        </w:rPr>
        <w:t xml:space="preserve">Review &amp; Report (Hotspots and Reliability):</w:t>
      </w:r>
      <w:r>
        <w:t xml:space="preserve"> </w:t>
      </w:r>
      <w:r>
        <w:t xml:space="preserve">The results are compiled, analyzed for emission hotspots, and presented. The reliability of the data and any limitations are discussed.</w:t>
      </w:r>
    </w:p>
    <w:p>
      <w:r>
        <w:pict>
          <v:rect style="width:0;height:1.5pt" o:hralign="center" o:hrstd="t" o:hr="t"/>
        </w:pict>
      </w:r>
    </w:p>
    <w:bookmarkEnd w:id="22"/>
    <w:bookmarkStart w:id="40" w:name="Xdee976206645436fcfa49406c05aa7ff20a6127"/>
    <w:p>
      <w:pPr>
        <w:pStyle w:val="Heading2"/>
      </w:pPr>
      <w:r>
        <w:t xml:space="preserve">Product Carbon Footprint Analysis for nzxqwergeu</w:t>
      </w:r>
    </w:p>
    <w:bookmarkStart w:id="23" w:name="scope-definition-and-parameters"/>
    <w:p>
      <w:pPr>
        <w:pStyle w:val="Heading3"/>
      </w:pPr>
      <w:r>
        <w:t xml:space="preserve">1. Scope Definition and Parameters</w:t>
      </w:r>
    </w:p>
    <w:p>
      <w:pPr>
        <w:pStyle w:val="FirstParagraph"/>
      </w:pPr>
      <w:r>
        <w:t xml:space="preserve">The analysis adheres to the following parameters:</w:t>
      </w:r>
    </w:p>
    <w:p>
      <w:pPr>
        <w:numPr>
          <w:ilvl w:val="0"/>
          <w:numId w:val="1005"/>
        </w:numPr>
        <w:pStyle w:val="Compact"/>
      </w:pPr>
      <w:r>
        <w:rPr>
          <w:bCs/>
          <w:b/>
        </w:rPr>
        <w:t xml:space="preserve">Company Name:</w:t>
      </w:r>
      <w:r>
        <w:t xml:space="preserve"> </w:t>
      </w:r>
      <w:r>
        <w:t xml:space="preserve">xygvppspgx</w:t>
      </w:r>
    </w:p>
    <w:p>
      <w:pPr>
        <w:numPr>
          <w:ilvl w:val="0"/>
          <w:numId w:val="1005"/>
        </w:numPr>
        <w:pStyle w:val="Compact"/>
      </w:pPr>
      <w:r>
        <w:rPr>
          <w:bCs/>
          <w:b/>
        </w:rPr>
        <w:t xml:space="preserve">Product Name:</w:t>
      </w:r>
      <w:r>
        <w:t xml:space="preserve"> </w:t>
      </w:r>
      <w:r>
        <w:t xml:space="preserve">nzxqwergeu</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extended downstream Scope 3)</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 Corporate Standard (with 2026 LSR Update considerations)</w:t>
      </w:r>
    </w:p>
    <w:p>
      <w:pPr>
        <w:numPr>
          <w:ilvl w:val="0"/>
          <w:numId w:val="1005"/>
        </w:numPr>
        <w:pStyle w:val="Compact"/>
      </w:pPr>
      <w:r>
        <w:rPr>
          <w:bCs/>
          <w:b/>
        </w:rPr>
        <w:t xml:space="preserve">Transport Mode (Upstream):</w:t>
      </w:r>
      <w:r>
        <w:t xml:space="preserve"> </w:t>
      </w:r>
      <w:r>
        <w:t xml:space="preserve">Road Freight (representative for Europe-focused supply chain)</w:t>
      </w:r>
    </w:p>
    <w:p>
      <w:pPr>
        <w:numPr>
          <w:ilvl w:val="0"/>
          <w:numId w:val="1005"/>
        </w:numPr>
        <w:pStyle w:val="Compact"/>
      </w:pPr>
      <w:r>
        <w:rPr>
          <w:bCs/>
          <w:b/>
        </w:rPr>
        <w:t xml:space="preserve">Transport Distance (Upstream):</w:t>
      </w:r>
      <w:r>
        <w:t xml:space="preserve"> </w:t>
      </w:r>
      <w:r>
        <w:t xml:space="preserve">2500 km</w:t>
      </w:r>
    </w:p>
    <w:p>
      <w:pPr>
        <w:numPr>
          <w:ilvl w:val="0"/>
          <w:numId w:val="1005"/>
        </w:numPr>
        <w:pStyle w:val="Compact"/>
      </w:pPr>
      <w:r>
        <w:rPr>
          <w:bCs/>
          <w:b/>
        </w:rPr>
        <w:t xml:space="preserve">Last-Mile Delivery Channel (Downstream):</w:t>
      </w:r>
      <w:r>
        <w:t xml:space="preserve"> </w:t>
      </w:r>
      <w:r>
        <w:t xml:space="preserve">Van Delivery</w:t>
      </w:r>
    </w:p>
    <w:p>
      <w:pPr>
        <w:numPr>
          <w:ilvl w:val="0"/>
          <w:numId w:val="1005"/>
        </w:numPr>
        <w:pStyle w:val="Compact"/>
      </w:pPr>
      <w:r>
        <w:rPr>
          <w:bCs/>
          <w:b/>
        </w:rPr>
        <w:t xml:space="preserve">Renewable Energy Usage (Production):</w:t>
      </w:r>
      <w:r>
        <w:t xml:space="preserve"> </w:t>
      </w:r>
      <w:r>
        <w:t xml:space="preserve">40%</w:t>
      </w:r>
    </w:p>
    <w:p>
      <w:pPr>
        <w:numPr>
          <w:ilvl w:val="0"/>
          <w:numId w:val="1005"/>
        </w:numPr>
        <w:pStyle w:val="Compact"/>
      </w:pPr>
      <w:r>
        <w:rPr>
          <w:bCs/>
          <w:b/>
        </w:rPr>
        <w:t xml:space="preserve">Energy Intensity (Production):</w:t>
      </w:r>
      <w:r>
        <w:t xml:space="preserve"> </w:t>
      </w:r>
      <w:r>
        <w:t xml:space="preserve">30 kWh/unit</w:t>
      </w:r>
    </w:p>
    <w:p>
      <w:pPr>
        <w:numPr>
          <w:ilvl w:val="0"/>
          <w:numId w:val="1005"/>
        </w:numPr>
        <w:pStyle w:val="Compact"/>
      </w:pPr>
      <w:r>
        <w:rPr>
          <w:bCs/>
          <w:b/>
        </w:rPr>
        <w:t xml:space="preserve">Product Lifespan:</w:t>
      </w:r>
      <w:r>
        <w:t xml:space="preserve"> </w:t>
      </w:r>
      <w:r>
        <w:t xml:space="preserve">3 years</w:t>
      </w:r>
    </w:p>
    <w:p>
      <w:pPr>
        <w:numPr>
          <w:ilvl w:val="0"/>
          <w:numId w:val="1005"/>
        </w:numPr>
        <w:pStyle w:val="Compact"/>
      </w:pPr>
      <w:r>
        <w:rPr>
          <w:bCs/>
          <w:b/>
        </w:rPr>
        <w:t xml:space="preserve">Energy Consumption in Use:</w:t>
      </w:r>
      <w:r>
        <w:t xml:space="preserve"> </w:t>
      </w:r>
      <w:r>
        <w:t xml:space="preserve">15 kWh/year</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established program covering 50% of units sold.</w:t>
      </w:r>
    </w:p>
    <w:bookmarkEnd w:id="23"/>
    <w:bookmarkStart w:id="24" w:name="X0499a0ebb111b5d80c6d2c2844866061e80d3f0"/>
    <w:p>
      <w:pPr>
        <w:pStyle w:val="Heading3"/>
      </w:pPr>
      <w:r>
        <w:t xml:space="preserve">2. Detailed Bill of Materials (BOM) &amp; Life Cycle Inventory (LCI) Inputs</w:t>
      </w:r>
    </w:p>
    <w:p>
      <w:pPr>
        <w:pStyle w:val="FirstParagraph"/>
      </w:pPr>
      <w:r>
        <w:t xml:space="preserve">The following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0.5</w:t>
            </w:r>
          </w:p>
        </w:tc>
        <w:tc>
          <w:tcPr/>
          <w:p>
            <w:pPr>
              <w:pStyle w:val="Compact"/>
              <w:jc w:val="left"/>
            </w:pPr>
            <w:r>
              <w:t xml:space="preserve">0.10</w:t>
            </w:r>
          </w:p>
        </w:tc>
      </w:tr>
    </w:tbl>
    <w:p>
      <w:pPr>
        <w:pStyle w:val="BodyText"/>
      </w:pPr>
      <w:r>
        <w:rPr>
          <w:bCs/>
          <w:b/>
        </w:rPr>
        <w:t xml:space="preserve">Total Product Weight:</w:t>
      </w:r>
      <w:r>
        <w:t xml:space="preserve"> </w:t>
      </w:r>
      <w:r>
        <w:t xml:space="preserve">The sum of material quantities (assuming 1 circuit board is 20g for weight estimation) amounts to 0.370 kg per unit for transport calculations.</w:t>
      </w:r>
    </w:p>
    <w:p>
      <w:r>
        <w:pict>
          <v:rect style="width:0;height:1.5pt" o:hralign="center" o:hrstd="t" o:hr="t"/>
        </w:pict>
      </w:r>
    </w:p>
    <w:bookmarkEnd w:id="24"/>
    <w:bookmarkStart w:id="34" w:name="X439a6e6dcb43c636bf515ffaf3f59bce0bd6490"/>
    <w:p>
      <w:pPr>
        <w:pStyle w:val="Heading3"/>
      </w:pPr>
      <w:r>
        <w:t xml:space="preserve">3. Emission Calculation (Activity * Emission Factor = CO2e)</w:t>
      </w:r>
    </w:p>
    <w:p>
      <w:pPr>
        <w:pStyle w:val="FirstParagraph"/>
      </w:pPr>
      <w:r>
        <w:t xml:space="preserve">Emissions are categorized and calculated per functional unit (1.0 unit) of nzxqwergeu. The total carbon footprint is **20.64 kg CO2e**.</w:t>
      </w:r>
    </w:p>
    <w:bookmarkStart w:id="25" w:name="scope-1-emissions-direct-emissions"/>
    <w:p>
      <w:pPr>
        <w:pStyle w:val="Heading4"/>
      </w:pPr>
      <w:r>
        <w:t xml:space="preserve">Scope 1 Emissions (Direct Emissions)</w:t>
      </w:r>
    </w:p>
    <w:p>
      <w:pPr>
        <w:pStyle w:val="FirstParagraph"/>
      </w:pPr>
      <w:r>
        <w:t xml:space="preserve">No direct Scope 1 emissions (e.g., from on-site fuel combustion) are reported for the production stage of nzxqwergeu based on the provided parameters. Any direct emissions from processes not covered by material-specific \'Total Carbon\' are assumed to be negligible or integrated into Scope 2/3 factors.</w:t>
      </w:r>
    </w:p>
    <w:bookmarkEnd w:id="25"/>
    <w:bookmarkStart w:id="26"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process.</w:t>
      </w:r>
    </w:p>
    <w:p>
      <w:pPr>
        <w:numPr>
          <w:ilvl w:val="0"/>
          <w:numId w:val="1006"/>
        </w:numPr>
        <w:pStyle w:val="Compact"/>
      </w:pPr>
      <w:r>
        <w:t xml:space="preserve">Energy Intensity (kWh/unit): 30 kWh/unit</w:t>
      </w:r>
    </w:p>
    <w:p>
      <w:pPr>
        <w:numPr>
          <w:ilvl w:val="0"/>
          <w:numId w:val="1006"/>
        </w:numPr>
        <w:pStyle w:val="Compact"/>
      </w:pPr>
      <w:r>
        <w:t xml:space="preserve">Renewable Energy Usage: 40%</w:t>
      </w:r>
    </w:p>
    <w:p>
      <w:pPr>
        <w:numPr>
          <w:ilvl w:val="0"/>
          <w:numId w:val="1006"/>
        </w:numPr>
        <w:pStyle w:val="Compact"/>
      </w:pPr>
      <w:r>
        <w:t xml:space="preserve">Non-renewable electricity consumption: 30 kWh/unit * (1 - 0.40) = 18 kWh/unit</w:t>
      </w:r>
    </w:p>
    <w:p>
      <w:pPr>
        <w:numPr>
          <w:ilvl w:val="0"/>
          <w:numId w:val="1006"/>
        </w:numPr>
        <w:pStyle w:val="Compact"/>
      </w:pPr>
      <w:r>
        <w:t xml:space="preserve">Grid Emission Factor (China): 0.581 kg CO2e/kWh (2022 adjusted value from China\'s Ministry of Ecology and Environment).</w:t>
      </w:r>
    </w:p>
    <w:p>
      <w:pPr>
        <w:numPr>
          <w:ilvl w:val="0"/>
          <w:numId w:val="1006"/>
        </w:numPr>
        <w:pStyle w:val="Compact"/>
      </w:pPr>
      <w:r>
        <w:rPr>
          <w:bCs/>
          <w:b/>
        </w:rPr>
        <w:t xml:space="preserve">Calculated Scope 2 Emissions:</w:t>
      </w:r>
      <w:r>
        <w:t xml:space="preserve"> </w:t>
      </w:r>
      <w:r>
        <w:t xml:space="preserve">18 kWh/unit * 0.581 kg CO2e/kWh =</w:t>
      </w:r>
      <w:r>
        <w:t xml:space="preserve"> </w:t>
      </w:r>
      <w:r>
        <w:rPr>
          <w:bCs/>
          <w:b/>
        </w:rPr>
        <w:t xml:space="preserve">10.46 kg CO2e/unit</w:t>
      </w:r>
    </w:p>
    <w:bookmarkEnd w:id="26"/>
    <w:bookmarkStart w:id="32" w:name="scope-3-emissions-value-chain-emissions"/>
    <w:p>
      <w:pPr>
        <w:pStyle w:val="Heading4"/>
      </w:pPr>
      <w:r>
        <w:t xml:space="preserve">Scope 3 Emissions (Value Chain Emissions)</w:t>
      </w:r>
    </w:p>
    <w:p>
      <w:pPr>
        <w:pStyle w:val="FirstParagraph"/>
      </w:pPr>
      <w:r>
        <w:t xml:space="preserve">Scope 3 emissions encompass all other indirect emissions from the value chain, both upstream and downstream. This analysis achieves over 95% coverage for Scope 3 reporting, as per 2026 requirements, by including materials, transport, use phase, and end-of-life.</w:t>
      </w:r>
    </w:p>
    <w:bookmarkStart w:id="27" w:name="Xab9729a0caae076ca89f2f71668734f92723cf2"/>
    <w:p>
      <w:pPr>
        <w:pStyle w:val="Heading5"/>
      </w:pPr>
      <w:r>
        <w:t xml:space="preserve">Category 1: Purchased Goods and Services (Materials)</w:t>
      </w:r>
    </w:p>
    <w:p>
      <w:pPr>
        <w:pStyle w:val="FirstParagraph"/>
      </w:pPr>
      <w:r>
        <w:t xml:space="preserve">Emissions from the extraction, production, and pre-processing of raw materials used in nzxqwergeu.</w:t>
      </w:r>
    </w:p>
    <w:p>
      <w:pPr>
        <w:numPr>
          <w:ilvl w:val="0"/>
          <w:numId w:val="1007"/>
        </w:numPr>
        <w:pStyle w:val="Compact"/>
      </w:pPr>
      <w:r>
        <w:t xml:space="preserve">Total Carbon from Detailed BOM: Sum of \'Total Carbon\' for all items.</w:t>
      </w:r>
    </w:p>
    <w:p>
      <w:pPr>
        <w:numPr>
          <w:ilvl w:val="0"/>
          <w:numId w:val="1007"/>
        </w:numPr>
        <w:pStyle w:val="Compact"/>
      </w:pPr>
      <w:r>
        <w:rPr>
          <w:bCs/>
          <w:b/>
        </w:rPr>
        <w:t xml:space="preserve">Calculated Scope 3 (Materials) Emissions:</w:t>
      </w:r>
      <w:r>
        <w:t xml:space="preserve"> </w:t>
      </w:r>
      <w:r>
        <w:t xml:space="preserve">0.25 + 0.09 + 1.20 + 0.10 =</w:t>
      </w:r>
      <w:r>
        <w:t xml:space="preserve"> </w:t>
      </w:r>
      <w:r>
        <w:rPr>
          <w:bCs/>
          <w:b/>
        </w:rPr>
        <w:t xml:space="preserve">1.64 kg CO2e/unit</w:t>
      </w:r>
    </w:p>
    <w:bookmarkEnd w:id="27"/>
    <w:bookmarkStart w:id="28" w:name="X6669a43143349c25ec93e775eebde43de53a73c"/>
    <w:p>
      <w:pPr>
        <w:pStyle w:val="Heading5"/>
      </w:pPr>
      <w:r>
        <w:t xml:space="preserve">Category 4: Upstream Transportation and Distribution</w:t>
      </w:r>
    </w:p>
    <w:p>
      <w:pPr>
        <w:pStyle w:val="FirstParagraph"/>
      </w:pPr>
      <w:r>
        <w:t xml:space="preserve">Emissions from the transportation of raw materials from suppliers (Europe-focused) to the production facility in China.</w:t>
      </w:r>
    </w:p>
    <w:p>
      <w:pPr>
        <w:numPr>
          <w:ilvl w:val="0"/>
          <w:numId w:val="1008"/>
        </w:numPr>
        <w:pStyle w:val="Compact"/>
      </w:pPr>
      <w:r>
        <w:t xml:space="preserve">Total Product Weight (for raw materials): 0.370 tonnes (converted from 370 grams)</w:t>
      </w:r>
    </w:p>
    <w:p>
      <w:pPr>
        <w:numPr>
          <w:ilvl w:val="0"/>
          <w:numId w:val="1008"/>
        </w:numPr>
        <w:pStyle w:val="Compact"/>
      </w:pPr>
      <w:r>
        <w:t xml:space="preserve">Transport Distance: 2500 km</w:t>
      </w:r>
    </w:p>
    <w:p>
      <w:pPr>
        <w:numPr>
          <w:ilvl w:val="0"/>
          <w:numId w:val="1008"/>
        </w:numPr>
        <w:pStyle w:val="Compact"/>
      </w:pPr>
      <w:r>
        <w:t xml:space="preserve">Transport Mode: Road Freight (Europe average)</w:t>
      </w:r>
    </w:p>
    <w:p>
      <w:pPr>
        <w:numPr>
          <w:ilvl w:val="0"/>
          <w:numId w:val="1008"/>
        </w:numPr>
        <w:pStyle w:val="Compact"/>
      </w:pPr>
      <w:r>
        <w:t xml:space="preserve">Emission Factor (Road Freight): 0.062 kg CO2e/tonne-km (average for road transport operations).</w:t>
      </w:r>
    </w:p>
    <w:p>
      <w:pPr>
        <w:numPr>
          <w:ilvl w:val="0"/>
          <w:numId w:val="1008"/>
        </w:numPr>
        <w:pStyle w:val="Compact"/>
      </w:pPr>
      <w:r>
        <w:rPr>
          <w:bCs/>
          <w:b/>
        </w:rPr>
        <w:t xml:space="preserve">Calculated Scope 3 (Upstream Transport) Emissions:</w:t>
      </w:r>
      <w:r>
        <w:t xml:space="preserve"> </w:t>
      </w:r>
      <w:r>
        <w:t xml:space="preserve">0.000370 tonnes * 2500 km * 0.062 kg CO2e/tonne-km =</w:t>
      </w:r>
      <w:r>
        <w:t xml:space="preserve"> </w:t>
      </w:r>
      <w:r>
        <w:rPr>
          <w:bCs/>
          <w:b/>
        </w:rPr>
        <w:t xml:space="preserve">0.06 kg CO2e/unit</w:t>
      </w:r>
    </w:p>
    <w:bookmarkEnd w:id="28"/>
    <w:bookmarkStart w:id="29" w:name="Xe6a609cc71639c4bb5b5bcd247c776c9d89fa33"/>
    <w:p>
      <w:pPr>
        <w:pStyle w:val="Heading5"/>
      </w:pPr>
      <w:r>
        <w:t xml:space="preserve">Category 9: Downstream Transportation and Distribution (Last-Mile Delivery)</w:t>
      </w:r>
    </w:p>
    <w:p>
      <w:pPr>
        <w:pStyle w:val="FirstParagraph"/>
      </w:pPr>
      <w:r>
        <w:t xml:space="preserve">Emissions from the delivery of the finished product from the factory to the end-customer.</w:t>
      </w:r>
    </w:p>
    <w:p>
      <w:pPr>
        <w:numPr>
          <w:ilvl w:val="0"/>
          <w:numId w:val="1009"/>
        </w:numPr>
        <w:pStyle w:val="Compact"/>
      </w:pPr>
      <w:r>
        <w:t xml:space="preserve">Last-Mile Delivery Channel: Van Delivery</w:t>
      </w:r>
    </w:p>
    <w:p>
      <w:pPr>
        <w:numPr>
          <w:ilvl w:val="0"/>
          <w:numId w:val="1009"/>
        </w:numPr>
        <w:pStyle w:val="Compact"/>
      </w:pPr>
      <w:r>
        <w:t xml:space="preserve">Emission Factor (Last-Mile): 0.230 kg CO2e/package (average for pickup and delivery).</w:t>
      </w:r>
    </w:p>
    <w:p>
      <w:pPr>
        <w:numPr>
          <w:ilvl w:val="0"/>
          <w:numId w:val="1009"/>
        </w:numPr>
        <w:pStyle w:val="Compact"/>
      </w:pPr>
      <w:r>
        <w:rPr>
          <w:bCs/>
          <w:b/>
        </w:rPr>
        <w:t xml:space="preserve">Calculated Scope 3 (Last-Mile Delivery) Emissions:</w:t>
      </w:r>
      <w:r>
        <w:t xml:space="preserve"> </w:t>
      </w:r>
      <w:r>
        <w:rPr>
          <w:bCs/>
          <w:b/>
        </w:rPr>
        <w:t xml:space="preserve">0.23 kg CO2e/unit</w:t>
      </w:r>
    </w:p>
    <w:bookmarkEnd w:id="29"/>
    <w:bookmarkStart w:id="30" w:name="category-11-use-of-sold-products"/>
    <w:p>
      <w:pPr>
        <w:pStyle w:val="Heading5"/>
      </w:pPr>
      <w:r>
        <w:t xml:space="preserve">Category 11: Use of Sold Products</w:t>
      </w:r>
    </w:p>
    <w:p>
      <w:pPr>
        <w:pStyle w:val="FirstParagraph"/>
      </w:pPr>
      <w:r>
        <w:t xml:space="preserve">Emissions from the energy consumption during the product\'s active use phase by the end-customer.</w:t>
      </w:r>
    </w:p>
    <w:p>
      <w:pPr>
        <w:numPr>
          <w:ilvl w:val="0"/>
          <w:numId w:val="1010"/>
        </w:numPr>
        <w:pStyle w:val="Compact"/>
      </w:pPr>
      <w:r>
        <w:t xml:space="preserve">Product Lifespan: 3 years</w:t>
      </w:r>
    </w:p>
    <w:p>
      <w:pPr>
        <w:numPr>
          <w:ilvl w:val="0"/>
          <w:numId w:val="1010"/>
        </w:numPr>
        <w:pStyle w:val="Compact"/>
      </w:pPr>
      <w:r>
        <w:t xml:space="preserve">Energy Consumption in Use: 15 kWh/year</w:t>
      </w:r>
    </w:p>
    <w:p>
      <w:pPr>
        <w:numPr>
          <w:ilvl w:val="0"/>
          <w:numId w:val="1010"/>
        </w:numPr>
        <w:pStyle w:val="Compact"/>
      </w:pPr>
      <w:r>
        <w:t xml:space="preserve">Grid Emission Factor (Use Phase - Europe Average): 0.181 kg CO2e/kWh (average European Carbon Factor for 2024).</w:t>
      </w:r>
    </w:p>
    <w:p>
      <w:pPr>
        <w:numPr>
          <w:ilvl w:val="0"/>
          <w:numId w:val="1010"/>
        </w:numPr>
        <w:pStyle w:val="Compact"/>
      </w:pPr>
      <w:r>
        <w:rPr>
          <w:bCs/>
          <w:b/>
        </w:rPr>
        <w:t xml:space="preserve">Calculated Scope 3 (Use Phase) Emissions:</w:t>
      </w:r>
      <w:r>
        <w:t xml:space="preserve"> </w:t>
      </w:r>
      <w:r>
        <w:t xml:space="preserve">15 kWh/year * 3 years * 0.181 kg CO2e/kWh =</w:t>
      </w:r>
      <w:r>
        <w:t xml:space="preserve"> </w:t>
      </w:r>
      <w:r>
        <w:rPr>
          <w:bCs/>
          <w:b/>
        </w:rPr>
        <w:t xml:space="preserve">8.15 kg CO2e/unit</w:t>
      </w:r>
    </w:p>
    <w:bookmarkEnd w:id="30"/>
    <w:bookmarkStart w:id="31" w:name="X9f66eef2700632e081dfe139021cb724ffcd2c5"/>
    <w:p>
      <w:pPr>
        <w:pStyle w:val="Heading5"/>
      </w:pPr>
      <w:r>
        <w:t xml:space="preserve">Category 12: End-of-Life Treatment of Sold Products</w:t>
      </w:r>
    </w:p>
    <w:p>
      <w:pPr>
        <w:pStyle w:val="FirstParagraph"/>
      </w:pPr>
      <w:r>
        <w:t xml:space="preserve">Emissions associated with the disposal or recycling of the product at the end of its life.</w:t>
      </w:r>
    </w:p>
    <w:p>
      <w:pPr>
        <w:numPr>
          <w:ilvl w:val="0"/>
          <w:numId w:val="1011"/>
        </w:numPr>
        <w:pStyle w:val="Compact"/>
      </w:pPr>
      <w:r>
        <w:t xml:space="preserve">Recyclability Percentage: 70%</w:t>
      </w:r>
    </w:p>
    <w:p>
      <w:pPr>
        <w:numPr>
          <w:ilvl w:val="0"/>
          <w:numId w:val="1011"/>
        </w:numPr>
        <w:pStyle w:val="Compact"/>
      </w:pPr>
      <w:r>
        <w:t xml:space="preserve">Total Product Weight: 0.370 kg</w:t>
      </w:r>
    </w:p>
    <w:p>
      <w:pPr>
        <w:numPr>
          <w:ilvl w:val="0"/>
          <w:numId w:val="1011"/>
        </w:numPr>
        <w:pStyle w:val="Compact"/>
      </w:pPr>
      <w:r>
        <w:t xml:space="preserve">Non-recycled waste weight: 0.370 kg * (1 - 0.70) = 0.111 kg</w:t>
      </w:r>
    </w:p>
    <w:p>
      <w:pPr>
        <w:numPr>
          <w:ilvl w:val="0"/>
          <w:numId w:val="1011"/>
        </w:numPr>
        <w:pStyle w:val="Compact"/>
      </w:pPr>
      <w:r>
        <w:t xml:space="preserve">EoL Emission Factor (General Waste to Landfill/Incineration): Assumed 1.0 kg CO2e/kg for non-recycled waste (common industry average when specific data is unavailable).</w:t>
      </w:r>
    </w:p>
    <w:p>
      <w:pPr>
        <w:numPr>
          <w:ilvl w:val="0"/>
          <w:numId w:val="1011"/>
        </w:numPr>
        <w:pStyle w:val="Compact"/>
      </w:pPr>
      <w:r>
        <w:rPr>
          <w:bCs/>
          <w:b/>
        </w:rPr>
        <w:t xml:space="preserve">Calculated Scope 3 (End-of-Life) Emissions:</w:t>
      </w:r>
      <w:r>
        <w:t xml:space="preserve"> </w:t>
      </w:r>
      <w:r>
        <w:t xml:space="preserve">0.111 kg * 1.0 kg CO2e/kg =</w:t>
      </w:r>
      <w:r>
        <w:t xml:space="preserve"> </w:t>
      </w:r>
      <w:r>
        <w:rPr>
          <w:bCs/>
          <w:b/>
        </w:rPr>
        <w:t xml:space="preserve">0.11 kg CO2e/unit</w:t>
      </w:r>
    </w:p>
    <w:p>
      <w:pPr>
        <w:numPr>
          <w:ilvl w:val="0"/>
          <w:numId w:val="1011"/>
        </w:numPr>
        <w:pStyle w:val="Compact"/>
      </w:pPr>
      <w:r>
        <w:rPr>
          <w:bCs/>
          <w:b/>
        </w:rPr>
        <w:t xml:space="preserve">Circular/Take-back Programs:</w:t>
      </w:r>
      <w:r>
        <w:t xml:space="preserve"> </w:t>
      </w:r>
      <w:r>
        <w:t xml:space="preserve">xygvppspgx operates an established take-back program covering 50% of units sold. While the direct calculation above accounts for potential recyclability, this program enhances the actualization of recycling and potentially enables higher-value recovery or reuse, thereby further mitigating overall lifecycle impact beyond this direct calculation.</w:t>
      </w:r>
    </w:p>
    <w:bookmarkEnd w:id="31"/>
    <w:bookmarkEnd w:id="32"/>
    <w:bookmarkStart w:id="33" w:name="X31970de49d90396682ef94751a2335d3035ca4f"/>
    <w:p>
      <w:pPr>
        <w:pStyle w:val="Heading4"/>
      </w:pPr>
      <w:r>
        <w:t xml:space="preserve">Summary of Product Carbon Footprint (per 1.0 unit of nzxqwergeu)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10.46</w:t>
            </w:r>
          </w:p>
        </w:tc>
        <w:tc>
          <w:tcPr/>
          <w:p>
            <w:pPr>
              <w:pStyle w:val="Compact"/>
              <w:jc w:val="left"/>
            </w:pPr>
            <w:r>
              <w:t xml:space="preserve">50.68%</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1.64</w:t>
            </w:r>
          </w:p>
        </w:tc>
        <w:tc>
          <w:tcPr/>
          <w:p>
            <w:pPr>
              <w:pStyle w:val="Compact"/>
              <w:jc w:val="left"/>
            </w:pPr>
            <w:r>
              <w:t xml:space="preserve">7.95%</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0.06</w:t>
            </w:r>
          </w:p>
        </w:tc>
        <w:tc>
          <w:tcPr/>
          <w:p>
            <w:pPr>
              <w:pStyle w:val="Compact"/>
              <w:jc w:val="left"/>
            </w:pPr>
            <w:r>
              <w:t xml:space="preserve">0.29%</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0.23</w:t>
            </w:r>
          </w:p>
        </w:tc>
        <w:tc>
          <w:tcPr/>
          <w:p>
            <w:pPr>
              <w:pStyle w:val="Compact"/>
              <w:jc w:val="left"/>
            </w:pPr>
            <w:r>
              <w:t xml:space="preserve">1.11%</w:t>
            </w:r>
          </w:p>
        </w:tc>
      </w:tr>
      <w:tr>
        <w:tc>
          <w:tcPr>
            <w:gridSpan w:val="1"/>
            <w:vMerge w:val="continue"/>
          </w:tcPr>
          <w:p>
            <w:pPr/>
          </w:p>
        </w:tc>
        <w:tc>
          <w:tcPr/>
          <w:p>
            <w:pPr>
              <w:pStyle w:val="Compact"/>
              <w:jc w:val="left"/>
            </w:pPr>
            <w:r>
              <w:t xml:space="preserve">Use of Sold Products (Energy Consumption)</w:t>
            </w:r>
          </w:p>
        </w:tc>
        <w:tc>
          <w:tcPr/>
          <w:p>
            <w:pPr>
              <w:pStyle w:val="Compact"/>
              <w:jc w:val="left"/>
            </w:pPr>
            <w:r>
              <w:t xml:space="preserve">8.15</w:t>
            </w:r>
          </w:p>
        </w:tc>
        <w:tc>
          <w:tcPr/>
          <w:p>
            <w:pPr>
              <w:pStyle w:val="Compact"/>
              <w:jc w:val="left"/>
            </w:pPr>
            <w:r>
              <w:t xml:space="preserve">39.49%</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0.11</w:t>
            </w:r>
          </w:p>
        </w:tc>
        <w:tc>
          <w:tcPr/>
          <w:p>
            <w:pPr>
              <w:pStyle w:val="Compact"/>
              <w:jc w:val="left"/>
            </w:pPr>
            <w:r>
              <w:t xml:space="preserve">0.53%</w:t>
            </w:r>
          </w:p>
        </w:tc>
      </w:tr>
      <w:tr>
        <w:tc>
          <w:tcPr>
            <w:gridSpan w:val="2"/>
          </w:tcPr>
          <w:p>
            <w:pPr>
              <w:pStyle w:val="Compact"/>
              <w:jc w:val="left"/>
            </w:pPr>
            <w:r>
              <w:t xml:space="preserve">TOTAL PRODUCT CARBON FOOTPRINT</w:t>
            </w:r>
          </w:p>
        </w:tc>
        <w:tc>
          <w:tcPr/>
          <w:p>
            <w:pPr>
              <w:pStyle w:val="Compact"/>
              <w:jc w:val="left"/>
            </w:pPr>
            <w:r>
              <w:t xml:space="preserve">20.64</w:t>
            </w:r>
          </w:p>
        </w:tc>
        <w:tc>
          <w:tcPr/>
          <w:p>
            <w:pPr>
              <w:pStyle w:val="Compact"/>
              <w:jc w:val="left"/>
            </w:pPr>
            <w:r>
              <w:t xml:space="preserve">100.00%</w:t>
            </w:r>
          </w:p>
        </w:tc>
      </w:tr>
    </w:tbl>
    <w:p>
      <w:r>
        <w:pict>
          <v:rect style="width:0;height:1.5pt" o:hralign="center" o:hrstd="t" o:hr="t"/>
        </w:pict>
      </w:r>
    </w:p>
    <w:bookmarkEnd w:id="33"/>
    <w:bookmarkEnd w:id="34"/>
    <w:bookmarkStart w:id="39" w:name="review-report"/>
    <w:p>
      <w:pPr>
        <w:pStyle w:val="Heading3"/>
      </w:pPr>
      <w:r>
        <w:t xml:space="preserve">4. Review &amp; Report</w:t>
      </w:r>
    </w:p>
    <w:bookmarkStart w:id="35" w:name="emission-hotspots"/>
    <w:p>
      <w:pPr>
        <w:pStyle w:val="Heading4"/>
      </w:pPr>
      <w:r>
        <w:t xml:space="preserve">Emission Hotspots</w:t>
      </w:r>
    </w:p>
    <w:p>
      <w:pPr>
        <w:pStyle w:val="FirstParagraph"/>
      </w:pPr>
      <w:r>
        <w:t xml:space="preserve">The analysis identifies the following primary emission hotspots for nzxqwergeu:</w:t>
      </w:r>
    </w:p>
    <w:p>
      <w:pPr>
        <w:numPr>
          <w:ilvl w:val="0"/>
          <w:numId w:val="1012"/>
        </w:numPr>
        <w:pStyle w:val="Compact"/>
      </w:pPr>
      <w:r>
        <w:rPr>
          <w:bCs/>
          <w:b/>
        </w:rPr>
        <w:t xml:space="preserve">Production Phase (Scope 2 Purchased Electricity):</w:t>
      </w:r>
      <w:r>
        <w:t xml:space="preserve"> </w:t>
      </w:r>
      <w:r>
        <w:t xml:space="preserve">Accounting for approximately 50.68% of the total PCF, the electricity consumed during manufacturing in China is the largest contributor. This highlights the carbon intensity of the grid electricity in the production region.</w:t>
      </w:r>
    </w:p>
    <w:p>
      <w:pPr>
        <w:numPr>
          <w:ilvl w:val="0"/>
          <w:numId w:val="1012"/>
        </w:numPr>
        <w:pStyle w:val="Compact"/>
      </w:pPr>
      <w:r>
        <w:rPr>
          <w:bCs/>
          <w:b/>
        </w:rPr>
        <w:t xml:space="preserve">Use Phase (Scope 3 Use of Sold Products):</w:t>
      </w:r>
      <w:r>
        <w:t xml:space="preserve"> </w:t>
      </w:r>
      <w:r>
        <w:t xml:space="preserve">The energy consumed by the product during its 3-year lifespan contributes significantly (39.49%) to the overall footprint. This impact is driven by the product\'s energy consumption (15 kWh/year) and the electricity mix of the consumption region.</w:t>
      </w:r>
    </w:p>
    <w:p>
      <w:pPr>
        <w:numPr>
          <w:ilvl w:val="0"/>
          <w:numId w:val="1012"/>
        </w:numPr>
        <w:pStyle w:val="Compact"/>
      </w:pPr>
      <w:r>
        <w:rPr>
          <w:bCs/>
          <w:b/>
        </w:rPr>
        <w:t xml:space="preserve">Materials (Scope 3 Purchased Goods and Services):</w:t>
      </w:r>
      <w:r>
        <w:t xml:space="preserve"> </w:t>
      </w:r>
      <w:r>
        <w:t xml:space="preserve">Constituting 7.95%, the raw materials and their associated upstream processing represent another notable hotspot. The \'Circuit Board\' component has the highest individual material impact (1.20 kg CO2e).</w:t>
      </w:r>
    </w:p>
    <w:bookmarkEnd w:id="35"/>
    <w:bookmarkStart w:id="36" w:name="reliability-and-limitations"/>
    <w:p>
      <w:pPr>
        <w:pStyle w:val="Heading4"/>
      </w:pPr>
      <w:r>
        <w:t xml:space="preserve">Reliability and Limitations</w:t>
      </w:r>
    </w:p>
    <w:p>
      <w:pPr>
        <w:pStyle w:val="FirstParagraph"/>
      </w:pPr>
      <w:r>
        <w:t xml:space="preserve">The reliability of this PCF analysis is robust, relying on primary data where available and recognized industry-standard emission factors. However, certain limitations exist:</w:t>
      </w:r>
    </w:p>
    <w:p>
      <w:pPr>
        <w:numPr>
          <w:ilvl w:val="0"/>
          <w:numId w:val="1013"/>
        </w:numPr>
        <w:pStyle w:val="Compact"/>
      </w:pPr>
      <w:r>
        <w:rPr>
          <w:bCs/>
          <w:b/>
        </w:rPr>
        <w:t xml:space="preserve">Secondary Data Reliance:</w:t>
      </w:r>
      <w:r>
        <w:t xml:space="preserve"> </w:t>
      </w:r>
      <w:r>
        <w:t xml:space="preserve">Where primary data was not specified (e.g., exact transport mode details, specific grid mix for use phase, detailed EoL processing), generic, conservative emission factors from reputable sources were used. These may not perfectly reflect the specific nuances of xygvppspgx\'s operations or market.</w:t>
      </w:r>
    </w:p>
    <w:p>
      <w:pPr>
        <w:numPr>
          <w:ilvl w:val="0"/>
          <w:numId w:val="1013"/>
        </w:numPr>
        <w:pStyle w:val="Compact"/>
      </w:pPr>
      <w:r>
        <w:rPr>
          <w:bCs/>
          <w:b/>
        </w:rPr>
        <w:t xml:space="preserve">Assumptions for Placeholders:</w:t>
      </w:r>
      <w:r>
        <w:t xml:space="preserve"> </w:t>
      </w:r>
      <w:r>
        <w:t xml:space="preserve">Numeric values were assigned to certain placeholder parameters (e.g., transport distance, energy consumption) to enable quantitative analysis. The accuracy of the final PCF is dependent on how closely these assumptions align with actual operational data.</w:t>
      </w:r>
    </w:p>
    <w:p>
      <w:pPr>
        <w:numPr>
          <w:ilvl w:val="0"/>
          <w:numId w:val="1013"/>
        </w:numPr>
        <w:pStyle w:val="Compact"/>
      </w:pPr>
      <w:r>
        <w:rPr>
          <w:bCs/>
          <w:b/>
        </w:rPr>
        <w:t xml:space="preserve">LSR Standard:</w:t>
      </w:r>
      <w:r>
        <w:t xml:space="preserve"> </w:t>
      </w:r>
      <w:r>
        <w:t xml:space="preserve">While the 2026 Land Sector and Removals (LSR) Standard is acknowledged, specific land use change and carbon removal data related to the raw materials or processes were not available, thus preventing granular calculation of this aspect.</w:t>
      </w:r>
    </w:p>
    <w:p>
      <w:pPr>
        <w:numPr>
          <w:ilvl w:val="0"/>
          <w:numId w:val="1013"/>
        </w:numPr>
        <w:pStyle w:val="Compact"/>
      </w:pPr>
      <w:r>
        <w:rPr>
          <w:bCs/>
          <w:b/>
        </w:rPr>
        <w:t xml:space="preserve">Scope 1 Detail:</w:t>
      </w:r>
      <w:r>
        <w:t xml:space="preserve"> </w:t>
      </w:r>
      <w:r>
        <w:t xml:space="preserve">A lack of specific data on direct fuel combustion or fugitive emissions for Scope 1 means this category is reported as zero. Further primary data collection would enhance accuracy.</w:t>
      </w:r>
    </w:p>
    <w:bookmarkEnd w:id="36"/>
    <w:bookmarkStart w:id="38" w:name="recommendations"/>
    <w:p>
      <w:pPr>
        <w:pStyle w:val="Heading4"/>
      </w:pPr>
      <w:r>
        <w:t xml:space="preserve">Recommendations</w:t>
      </w:r>
    </w:p>
    <w:p>
      <w:pPr>
        <w:pStyle w:val="FirstParagraph"/>
      </w:pPr>
      <w:r>
        <w:t xml:space="preserve">Based on the identified hotspots, xygvppspgx is recommended to:</w:t>
      </w:r>
    </w:p>
    <w:p>
      <w:pPr>
        <w:numPr>
          <w:ilvl w:val="0"/>
          <w:numId w:val="1014"/>
        </w:numPr>
        <w:pStyle w:val="Compact"/>
      </w:pPr>
      <w:r>
        <w:rPr>
          <w:bCs/>
          <w:b/>
        </w:rPr>
        <w:t xml:space="preserve">Decarbonize Production Energy:</w:t>
      </w:r>
      <w:r>
        <w:t xml:space="preserve"> </w:t>
      </w:r>
      <w:r>
        <w:t xml:space="preserve">Explore options to increase renewable energy procurement beyond 40% in China, potentially through Power Purchase Agreements (PPAs) for local renewable energy projects or on-site generation. This addresses the largest hotspot.</w:t>
      </w:r>
    </w:p>
    <w:p>
      <w:pPr>
        <w:numPr>
          <w:ilvl w:val="0"/>
          <w:numId w:val="1014"/>
        </w:numPr>
        <w:pStyle w:val="Compact"/>
      </w:pPr>
      <w:r>
        <w:rPr>
          <w:bCs/>
          <w:b/>
        </w:rPr>
        <w:t xml:space="preserve">Optimize Product Energy Efficiency:</w:t>
      </w:r>
      <w:r>
        <w:t xml:space="preserve"> </w:t>
      </w:r>
      <w:r>
        <w:t xml:space="preserve">Focus on R&amp;D to reduce the energy consumption of nzxqwergeu during its use phase. Designing more energy-efficient products will significantly reduce its lifecycle impact.</w:t>
      </w:r>
    </w:p>
    <w:p>
      <w:pPr>
        <w:numPr>
          <w:ilvl w:val="0"/>
          <w:numId w:val="1014"/>
        </w:numPr>
        <w:pStyle w:val="Compact"/>
      </w:pPr>
      <w:r>
        <w:rPr>
          <w:bCs/>
          <w:b/>
        </w:rPr>
        <w:t xml:space="preserve">Material Optimization:</w:t>
      </w:r>
      <w:r>
        <w:t xml:space="preserve"> </w:t>
      </w:r>
      <w:r>
        <w:t xml:space="preserve">Investigate alternative, lower-carbon materials for the Circuit Board and other significant components. Engage with suppliers to encourage the use of renewable energy in their material production processes.</w:t>
      </w:r>
    </w:p>
    <w:p>
      <w:pPr>
        <w:numPr>
          <w:ilvl w:val="0"/>
          <w:numId w:val="1014"/>
        </w:numPr>
        <w:pStyle w:val="Compact"/>
      </w:pPr>
      <w:r>
        <w:rPr>
          <w:bCs/>
          <w:b/>
        </w:rPr>
        <w:t xml:space="preserve">Enhance Circularity:</w:t>
      </w:r>
      <w:r>
        <w:t xml:space="preserve"> </w:t>
      </w:r>
      <w:r>
        <w:t xml:space="preserve">Leverage and expand the existing take-back program to maximize actual recycling rates and explore opportunities for repair, refurbishment, or remanufacturing to extend product lifespan and reduce the need for virgin materials.</w:t>
      </w:r>
    </w:p>
    <w:p>
      <w:pPr>
        <w:numPr>
          <w:ilvl w:val="0"/>
          <w:numId w:val="1014"/>
        </w:numPr>
        <w:pStyle w:val="Compact"/>
      </w:pPr>
      <w:r>
        <w:rPr>
          <w:bCs/>
          <w:b/>
        </w:rPr>
        <w:t xml:space="preserve">Supply Chain Engagement:</w:t>
      </w:r>
      <w:r>
        <w:t xml:space="preserve"> </w:t>
      </w:r>
      <w:r>
        <w:t xml:space="preserve">Work with upstream logistics providers to optimize transport routes, increase load factors, and explore lower-emission transport modes (e.g., rail, sea freight where feasible) for long-distance material transport.</w:t>
      </w:r>
    </w:p>
    <w:p>
      <w:pPr>
        <w:numPr>
          <w:ilvl w:val="0"/>
          <w:numId w:val="1014"/>
        </w:numPr>
        <w:pStyle w:val="Compact"/>
      </w:pPr>
      <w:r>
        <w:rPr>
          <w:bCs/>
          <w:b/>
        </w:rPr>
        <w:t xml:space="preserve">Data Granularity:</w:t>
      </w:r>
      <w:r>
        <w:t xml:space="preserve"> </w:t>
      </w:r>
      <w:r>
        <w:t xml:space="preserve">Continuously improve data collection for primary operational data across all lifecycle stages to refine future PCF assessments and identify further reduction opportunities.</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p>
    <w:bookmarkEnd w:id="38"/>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nzxqwergeu</dc:title>
  <dc:creator/>
  <dc:description>High-detail Product Carbon Footprint (PCF) analysis for nzxqwergeu, adhering to GHG Protocol and 2026 LSR Update, conducted by Senior Sustainability Consultant ijdpqjlvzv for xygvppspgx.</dc:description>
  <dc:language>en</dc:language>
  <cp:keywords/>
  <dcterms:created xsi:type="dcterms:W3CDTF">2026-05-30T12:40:56Z</dcterms:created>
  <dcterms:modified xsi:type="dcterms:W3CDTF">2026-05-30T12:40:56Z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