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nzlwdijwfs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t xml:space="preserve">nzlwdijwfs</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lpvvvxkzny</w:t>
      </w:r>
    </w:p>
    <w:p>
      <w:pPr>
        <w:pStyle w:val="BodyText"/>
      </w:pPr>
      <w:r>
        <w:rPr>
          <w:bCs/>
          <w:b/>
        </w:rPr>
        <w:t xml:space="preserve">Senior Sustainability Consultant:</w:t>
      </w:r>
      <w:r>
        <w:t xml:space="preserve"> </w:t>
      </w:r>
      <w:r>
        <w:t xml:space="preserve">proddrwxwk</w:t>
      </w:r>
    </w:p>
    <w:p>
      <w:pPr>
        <w:pStyle w:val="BodyText"/>
      </w:pPr>
      <w:r>
        <w:t xml:space="preserve">This report is generated based on available data and industry standards, including specific parameters provided by the client. Assumptions and estimations are explicitly stated where primary data was unavailable.</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nzlwdijwfs</w:t>
      </w:r>
    </w:p>
    <w:p>
      <w:pPr>
        <w:pStyle w:val="BodyText"/>
      </w:pPr>
      <w:r>
        <w:rPr>
          <w:bCs/>
          <w:b/>
        </w:rPr>
        <w:t xml:space="preserve">Company:</w:t>
      </w:r>
      <w:r>
        <w:t xml:space="preserve"> </w:t>
      </w:r>
      <w:r>
        <w:t xml:space="preserve">lpvvvxkzny</w:t>
      </w:r>
    </w:p>
    <w:p>
      <w:pPr>
        <w:pStyle w:val="BodyText"/>
      </w:pPr>
      <w:r>
        <w:rPr>
          <w:bCs/>
          <w:b/>
        </w:rPr>
        <w:t xml:space="preserve">Senior Sustainability Consultant:</w:t>
      </w:r>
      <w:r>
        <w:t xml:space="preserve"> </w:t>
      </w:r>
      <w:r>
        <w:t xml:space="preserve">proddrwxwk</w:t>
      </w:r>
    </w:p>
    <w:p>
      <w:pPr>
        <w:pStyle w:val="BodyText"/>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details the Product Carbon Footprint (PCF) analysis for the product nzlwdijwfs, manufactured by lpvvvxkzny, as conducted by Senior Sustainability Consultant proddrwxwk. The analysis adheres to the GHG Protocol and incorporates the 2026 Land Sector and Removals (LSR) Standard update. The PCF quantifies greenhouse gas (GHG) emissions across the product\'s entire lifecycle, from raw material acquisition to end-of-life, providing a comprehensive understanding of its environmental impact. The total Product Carbon Footprint for one functional unit of nzlwdijwfs is calculated to be</w:t>
      </w:r>
      <w:r>
        <w:t xml:space="preserve"> </w:t>
      </w:r>
      <w:r>
        <w:rPr>
          <w:bCs/>
          <w:b/>
        </w:rPr>
        <w:t xml:space="preserve">67.59 kg CO2e</w:t>
      </w:r>
      <w:r>
        <w:t xml:space="preserve">. The use phase is identified as the primary hotspot.</w:t>
      </w:r>
    </w:p>
    <w:p>
      <w:r>
        <w:pict>
          <v:rect style="width:0;height:1.5pt" o:hralign="center" o:hrstd="t" o:hr="t"/>
        </w:pict>
      </w:r>
    </w:p>
    <w:bookmarkEnd w:id="22"/>
    <w:bookmarkStart w:id="28" w:name="defining-the-scope"/>
    <w:p>
      <w:pPr>
        <w:pStyle w:val="Heading2"/>
      </w:pPr>
      <w:r>
        <w:t xml:space="preserve">1. Defining the Scope</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nzlwdijwfs</w:t>
      </w:r>
      <w:r>
        <w:t xml:space="preserve">, providing its intended function over its lifespan.</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is</w:t>
      </w:r>
      <w:r>
        <w:t xml:space="preserve"> </w:t>
      </w:r>
      <w:r>
        <w:rPr>
          <w:bCs/>
          <w:b/>
        </w:rPr>
        <w:t xml:space="preserve">cradle-to-grave</w:t>
      </w:r>
      <w:r>
        <w:t xml:space="preserve">, encompassing all stages from raw material extraction, through manufacturing, transportation, the product\'s use phase, and its end-of-life treatment. While the production\'s geographic scope is focused on the \'factory_gate\' in China, the analysis extends to global supply chain elements and downstream impacts as per the provided parameters.</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scope considers emission factors relevant to these regions where applicable, with global averages used for generic materials or processes where specific regional data is unavailable.</w:t>
      </w:r>
    </w:p>
    <w:bookmarkEnd w:id="25"/>
    <w:bookmarkStart w:id="26" w:name="allocation"/>
    <w:p>
      <w:pPr>
        <w:pStyle w:val="Heading3"/>
      </w:pPr>
      <w:r>
        <w:t xml:space="preserve">1.4 Allocation</w:t>
      </w:r>
    </w:p>
    <w:p>
      <w:pPr>
        <w:numPr>
          <w:ilvl w:val="0"/>
          <w:numId w:val="1004"/>
        </w:numPr>
        <w:pStyle w:val="Compact"/>
      </w:pPr>
      <w:r>
        <w:t xml:space="preserve">Emissions are allocated directly to the product nzlwdijwfs. For multi-product processes or shared services (e.g., transportation), a mass-based allocation approach is employed where appropriate. For end-of-life recycling, the "avoided burden" approach is used to credit the product for materials recycled, reflecting circular economy impacts.</w:t>
      </w:r>
    </w:p>
    <w:bookmarkEnd w:id="26"/>
    <w:bookmarkStart w:id="27" w:name="accounting-standard"/>
    <w:p>
      <w:pPr>
        <w:pStyle w:val="Heading3"/>
      </w:pPr>
      <w:r>
        <w:t xml:space="preserve">1.5 Accounting Standard</w:t>
      </w:r>
    </w:p>
    <w:p>
      <w:pPr>
        <w:numPr>
          <w:ilvl w:val="0"/>
          <w:numId w:val="1005"/>
        </w:numPr>
        <w:pStyle w:val="Compact"/>
      </w:pPr>
      <w:r>
        <w:t xml:space="preserve">This PCF analysis is conducted in strict adherence to the</w:t>
      </w:r>
      <w:r>
        <w:t xml:space="preserve"> </w:t>
      </w:r>
      <w:r>
        <w:rPr>
          <w:bCs/>
          <w:b/>
        </w:rPr>
        <w:t xml:space="preserve">GHG Protocol Product Standard</w:t>
      </w:r>
      <w:r>
        <w:t xml:space="preserve">. Emissions are categorized into Scope 1, Scope 2, and Scope 3 as defined by the GHG Protocol.</w:t>
      </w:r>
    </w:p>
    <w:p>
      <w:pPr>
        <w:numPr>
          <w:ilvl w:val="0"/>
          <w:numId w:val="1005"/>
        </w:numPr>
        <w:pStyle w:val="Compact"/>
      </w:pPr>
      <w:r>
        <w:rPr>
          <w:bCs/>
          <w:b/>
        </w:rPr>
        <w:t xml:space="preserve">2026 LSR Update:</w:t>
      </w:r>
      <w:r>
        <w:t xml:space="preserve"> </w:t>
      </w:r>
      <w:r>
        <w:t xml:space="preserve">The Land Sector and Removals (LSR) Standard v1.0, released on January 30, 2026, has been considered. As the LSR Standard is set to take effect on January 1, 2027, and the accompanying guidance is expected in Q2 2026, quantitative application for land-use change specifically tied to raw material sourcing in the absence of detailed primary data is limited. However, the importance of accounting for land-based emissions and removals is acknowledged, and emission factors from databases like ecoinvent implicitly capture some land-use impacts. This version of the LSR Standard does not include forest carbon accounting.</w:t>
      </w:r>
    </w:p>
    <w:p>
      <w:r>
        <w:pict>
          <v:rect style="width:0;height:1.5pt" o:hralign="center" o:hrstd="t" o:hr="t"/>
        </w:pict>
      </w:r>
    </w:p>
    <w:bookmarkEnd w:id="27"/>
    <w:bookmarkEnd w:id="28"/>
    <w:bookmarkStart w:id="37" w:name="X6e2793ee4fc01441418c201f3b9b8c363590e6c"/>
    <w:p>
      <w:pPr>
        <w:pStyle w:val="Heading2"/>
      </w:pPr>
      <w:r>
        <w:t xml:space="preserve">2. Mapping the Lifecycle (LCI Inventory Stages) &amp; 3. Data Collection</w:t>
      </w:r>
    </w:p>
    <w:p>
      <w:pPr>
        <w:pStyle w:val="FirstParagraph"/>
      </w:pPr>
      <w:r>
        <w:t xml:space="preserve">The lifecycle of nzlwdijwfs is mapped across five key stages, and data is collected from a combination of primary (provided) and secondary (industry-standard emission factor databases like Ecoinvent and DEFRA) sources.</w:t>
      </w:r>
    </w:p>
    <w:bookmarkStart w:id="30" w:name="X5fba48d7b85b1fc1d0080a72f3bcf6c0594fa3b"/>
    <w:p>
      <w:pPr>
        <w:pStyle w:val="Heading3"/>
      </w:pPr>
      <w:r>
        <w:t xml:space="preserve">2.1 Material Acquisition &amp; Pre-processing (Scope 3, Category 1: Purchased Goods and Services)</w:t>
      </w:r>
    </w:p>
    <w:p>
      <w:pPr>
        <w:pStyle w:val="FirstParagraph"/>
      </w:pPr>
      <w:r>
        <w:t xml:space="preserve">This stage includes the extraction, processing, and manufacturing of all raw materials and components specified in the Detailed Bill of Materials (BOM).</w:t>
      </w:r>
    </w:p>
    <w:bookmarkStart w:id="29" w:name="detailed-bill-of-materials-bom-mdyyzuhr"/>
    <w:p>
      <w:pPr>
        <w:pStyle w:val="Heading4"/>
      </w:pPr>
      <w:r>
        <w:t xml:space="preserve">Detailed Bill of Materials (BOM): mdyyzuhr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12.5</w:t>
            </w:r>
          </w:p>
        </w:tc>
        <w:tc>
          <w:tcPr/>
          <w:p>
            <w:pPr>
              <w:pStyle w:val="Compact"/>
              <w:jc w:val="left"/>
            </w:pPr>
            <w:r>
              <w:t xml:space="preserve">6.25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r>
        <w:tc>
          <w:tcPr>
            <w:gridSpan w:val="7"/>
          </w:tcPr>
          <w:p>
            <w:pPr>
              <w:pStyle w:val="Compact"/>
              <w:jc w:val="left"/>
            </w:pPr>
            <w:r>
              <w:t xml:space="preserve">Total Material Emissions</w:t>
            </w:r>
          </w:p>
        </w:tc>
        <w:tc>
          <w:tcPr/>
          <w:p>
            <w:pPr>
              <w:pStyle w:val="Compact"/>
              <w:jc w:val="left"/>
            </w:pPr>
            <w:r>
              <w:t xml:space="preserve">9.125</w:t>
            </w:r>
          </w:p>
        </w:tc>
      </w:tr>
    </w:tbl>
    <w:p>
      <w:pPr>
        <w:pStyle w:val="BodyText"/>
      </w:pPr>
      <w:r>
        <w:rPr>
          <w:bCs/>
          <w:b/>
        </w:rPr>
        <w:t xml:space="preserve">Total Mass of Product Materials for Transport Calculation:</w:t>
      </w:r>
      <w:r>
        <w:t xml:space="preserve"> </w:t>
      </w:r>
      <w:r>
        <w:t xml:space="preserve">Sum of \'Qty\' for mass-based units = 0.5 kg (Aluminum) + 0.3 kg (ABS Plastic) + 0.1 kg (Copper Wire) + 0.15 kg (Packaging Cardboard) = 1.05 kg.</w:t>
      </w:r>
    </w:p>
    <w:bookmarkEnd w:id="29"/>
    <w:bookmarkEnd w:id="30"/>
    <w:bookmarkStart w:id="31" w:name="production-phase-manufacturing"/>
    <w:p>
      <w:pPr>
        <w:pStyle w:val="Heading3"/>
      </w:pPr>
      <w:r>
        <w:t xml:space="preserve">2.2 Production Phase (Manufacturing)</w:t>
      </w:r>
    </w:p>
    <w:p>
      <w:pPr>
        <w:pStyle w:val="FirstParagraph"/>
      </w:pPr>
      <w:r>
        <w:t xml:space="preserve">This stage covers the energy consumption during the manufacturing of nzlwdijwfs in China.</w:t>
      </w:r>
    </w:p>
    <w:p>
      <w:pPr>
        <w:numPr>
          <w:ilvl w:val="0"/>
          <w:numId w:val="1006"/>
        </w:numPr>
        <w:pStyle w:val="Compact"/>
      </w:pPr>
      <w:r>
        <w:rPr>
          <w:bCs/>
          <w:b/>
        </w:rPr>
        <w:t xml:space="preserve">Energy Intensity (kWh/unit):</w:t>
      </w:r>
      <w:r>
        <w:t xml:space="preserve"> </w:t>
      </w:r>
      <w:r>
        <w:t xml:space="preserve">sxdzhjjvqf (10 kWh/unit)</w:t>
      </w:r>
    </w:p>
    <w:p>
      <w:pPr>
        <w:numPr>
          <w:ilvl w:val="0"/>
          <w:numId w:val="1006"/>
        </w:numPr>
        <w:pStyle w:val="Compact"/>
      </w:pPr>
      <w:r>
        <w:rPr>
          <w:bCs/>
          <w:b/>
        </w:rPr>
        <w:t xml:space="preserve">Renewable Energy Usage:</w:t>
      </w:r>
      <w:r>
        <w:t xml:space="preserve"> </w:t>
      </w:r>
      <w:r>
        <w:t xml:space="preserve">umikggygzm (75%)</w:t>
      </w:r>
    </w:p>
    <w:p>
      <w:pPr>
        <w:numPr>
          <w:ilvl w:val="0"/>
          <w:numId w:val="1006"/>
        </w:numPr>
        <w:pStyle w:val="Compact"/>
      </w:pPr>
      <w:r>
        <w:rPr>
          <w:bCs/>
          <w:b/>
        </w:rPr>
        <w:t xml:space="preserve">Non-renewable Energy Usage:</w:t>
      </w:r>
      <w:r>
        <w:t xml:space="preserve"> </w:t>
      </w:r>
      <w:r>
        <w:t xml:space="preserve">10 kWh/unit * (1 - 0.75) = 2.5 kWh/unit</w:t>
      </w:r>
    </w:p>
    <w:p>
      <w:pPr>
        <w:numPr>
          <w:ilvl w:val="0"/>
          <w:numId w:val="1006"/>
        </w:numPr>
        <w:pStyle w:val="Compact"/>
      </w:pPr>
      <w:r>
        <w:rPr>
          <w:bCs/>
          <w:b/>
        </w:rPr>
        <w:t xml:space="preserve">China Grid Electricity Emission Factor (2026 estimate):</w:t>
      </w:r>
      <w:r>
        <w:t xml:space="preserve"> </w:t>
      </w:r>
      <w:r>
        <w:t xml:space="preserve">0.58 kg CO2e/kWh. This factor is an estimated average for the Chinese grid mix, reflecting the gradual decarbonization efforts and includes upstream impacts for purchased electricity.</w:t>
      </w:r>
    </w:p>
    <w:bookmarkEnd w:id="31"/>
    <w:bookmarkStart w:id="33" w:name="X1848d2ef763daee68af2d8bcad15602d98aa8b1"/>
    <w:p>
      <w:pPr>
        <w:pStyle w:val="Heading3"/>
      </w:pPr>
      <w:r>
        <w:t xml:space="preserve">2.3 Transportation (Scope 3, Category 4 &amp; 9: Upstream and Downstream Transportation)</w:t>
      </w:r>
    </w:p>
    <w:p>
      <w:pPr>
        <w:pStyle w:val="FirstParagraph"/>
      </w:pPr>
      <w:r>
        <w:t xml:space="preserve">This includes transportation of raw materials to the factory (upstream), distribution of the finished product to markets (downstream), and last-mile delivery.</w:t>
      </w:r>
    </w:p>
    <w:p>
      <w:pPr>
        <w:numPr>
          <w:ilvl w:val="0"/>
          <w:numId w:val="1007"/>
        </w:numPr>
        <w:pStyle w:val="Compact"/>
      </w:pPr>
      <w:r>
        <w:rPr>
          <w:bCs/>
          <w:b/>
        </w:rPr>
        <w:t xml:space="preserve">Transport Mode:</w:t>
      </w:r>
      <w:r>
        <w:t xml:space="preserve"> </w:t>
      </w:r>
      <w:r>
        <w:t xml:space="preserve">Select Mode (Assumed: Ocean Freight, Road Freight)</w:t>
      </w:r>
    </w:p>
    <w:p>
      <w:pPr>
        <w:numPr>
          <w:ilvl w:val="0"/>
          <w:numId w:val="1007"/>
        </w:numPr>
        <w:pStyle w:val="Compact"/>
      </w:pPr>
      <w:r>
        <w:rPr>
          <w:bCs/>
          <w:b/>
        </w:rPr>
        <w:t xml:space="preserve">Transport Distance:</w:t>
      </w:r>
      <w:r>
        <w:t xml:space="preserve"> </w:t>
      </w:r>
      <w:r>
        <w:t xml:space="preserve">efuvgsoplr (Assumed: Ocean: 15000 km, Road: 500 km)</w:t>
      </w:r>
    </w:p>
    <w:p>
      <w:pPr>
        <w:numPr>
          <w:ilvl w:val="0"/>
          <w:numId w:val="1007"/>
        </w:numPr>
        <w:pStyle w:val="Compact"/>
      </w:pPr>
      <w:r>
        <w:rPr>
          <w:bCs/>
          <w:b/>
        </w:rPr>
        <w:t xml:space="preserve">Last-Mile Delivery Channel:</w:t>
      </w:r>
      <w:r>
        <w:t xml:space="preserve"> </w:t>
      </w:r>
      <w:r>
        <w:t xml:space="preserve">Delivery Type (Assumed: Direct to Consumer via Parcel Service)</w:t>
      </w:r>
    </w:p>
    <w:bookmarkStart w:id="32" w:name="X4c150c833438825e9309eb9c1948112960dfa06"/>
    <w:p>
      <w:pPr>
        <w:pStyle w:val="Heading4"/>
      </w:pPr>
      <w:r>
        <w:t xml:space="preserve">Assumed Emission Factors (Industry Standard - DEFRA/Ecoinvent aligned values):</w:t>
      </w:r>
    </w:p>
    <w:p>
      <w:pPr>
        <w:numPr>
          <w:ilvl w:val="0"/>
          <w:numId w:val="1008"/>
        </w:numPr>
        <w:pStyle w:val="Compact"/>
      </w:pPr>
      <w:r>
        <w:rPr>
          <w:bCs/>
          <w:b/>
        </w:rPr>
        <w:t xml:space="preserve">Ocean Freight (container ship):</w:t>
      </w:r>
      <w:r>
        <w:t xml:space="preserve"> </w:t>
      </w:r>
      <w:r>
        <w:t xml:space="preserve">0.005 kg CO2e/tonne-km.</w:t>
      </w:r>
    </w:p>
    <w:p>
      <w:pPr>
        <w:numPr>
          <w:ilvl w:val="0"/>
          <w:numId w:val="1008"/>
        </w:numPr>
        <w:pStyle w:val="Compact"/>
      </w:pPr>
      <w:r>
        <w:rPr>
          <w:bCs/>
          <w:b/>
        </w:rPr>
        <w:t xml:space="preserve">Road Freight (heavy-duty truck, Europe focused):</w:t>
      </w:r>
      <w:r>
        <w:t xml:space="preserve"> </w:t>
      </w:r>
      <w:r>
        <w:t xml:space="preserve">0.1 kg CO2e/tonne-km.</w:t>
      </w:r>
    </w:p>
    <w:p>
      <w:pPr>
        <w:numPr>
          <w:ilvl w:val="0"/>
          <w:numId w:val="1008"/>
        </w:numPr>
        <w:pStyle w:val="Compact"/>
      </w:pPr>
      <w:r>
        <w:rPr>
          <w:bCs/>
          <w:b/>
        </w:rPr>
        <w:t xml:space="preserve">Last-Mile Delivery (parcel service, per unit):</w:t>
      </w:r>
      <w:r>
        <w:t xml:space="preserve"> </w:t>
      </w:r>
      <w:r>
        <w:t xml:space="preserve">0.5 kg CO2e/unit (assumed for typical light commercial vehicle delivery per package).</w:t>
      </w:r>
    </w:p>
    <w:bookmarkEnd w:id="32"/>
    <w:bookmarkEnd w:id="33"/>
    <w:bookmarkStart w:id="34" w:name="Xc8d47610e025d3b1fe367d676386ecee874efa3"/>
    <w:p>
      <w:pPr>
        <w:pStyle w:val="Heading3"/>
      </w:pPr>
      <w:r>
        <w:t xml:space="preserve">2.4 Use Phase (Scope 3, Category 11: Use of Sold Products)</w:t>
      </w:r>
    </w:p>
    <w:p>
      <w:pPr>
        <w:pStyle w:val="FirstParagraph"/>
      </w:pPr>
      <w:r>
        <w:t xml:space="preserve">This stage accounts for the energy consumed by the product during its operational lifespan.</w:t>
      </w:r>
    </w:p>
    <w:p>
      <w:pPr>
        <w:numPr>
          <w:ilvl w:val="0"/>
          <w:numId w:val="1009"/>
        </w:numPr>
        <w:pStyle w:val="Compact"/>
      </w:pPr>
      <w:r>
        <w:rPr>
          <w:bCs/>
          <w:b/>
        </w:rPr>
        <w:t xml:space="preserve">Product Lifespan:</w:t>
      </w:r>
      <w:r>
        <w:t xml:space="preserve"> </w:t>
      </w:r>
      <w:r>
        <w:t xml:space="preserve">pzoynkyxyu (5 years)</w:t>
      </w:r>
    </w:p>
    <w:p>
      <w:pPr>
        <w:numPr>
          <w:ilvl w:val="0"/>
          <w:numId w:val="1009"/>
        </w:numPr>
        <w:pStyle w:val="Compact"/>
      </w:pPr>
      <w:r>
        <w:rPr>
          <w:bCs/>
          <w:b/>
        </w:rPr>
        <w:t xml:space="preserve">Energy Consumption in Use:</w:t>
      </w:r>
      <w:r>
        <w:t xml:space="preserve"> </w:t>
      </w:r>
      <w:r>
        <w:t xml:space="preserve">mwhtxrzfun (20 kWh/year)</w:t>
      </w:r>
    </w:p>
    <w:p>
      <w:pPr>
        <w:numPr>
          <w:ilvl w:val="0"/>
          <w:numId w:val="1009"/>
        </w:numPr>
        <w:pStyle w:val="Compact"/>
      </w:pPr>
      <w:r>
        <w:rPr>
          <w:bCs/>
          <w:b/>
        </w:rPr>
        <w:t xml:space="preserve">Electricity Emission Factor for Use Phase:</w:t>
      </w:r>
      <w:r>
        <w:t xml:space="preserve"> </w:t>
      </w:r>
      <w:r>
        <w:t xml:space="preserve">0.58 kg CO2e/kWh (using China grid mix as a conservative proxy for global average user energy, given no specific user geography was provided. This accounts for the emissions from the generation of electricity consumed during use).</w:t>
      </w:r>
    </w:p>
    <w:bookmarkEnd w:id="34"/>
    <w:bookmarkStart w:id="36" w:name="X9982929b618de862c11111658ccce8db3e98553"/>
    <w:p>
      <w:pPr>
        <w:pStyle w:val="Heading3"/>
      </w:pPr>
      <w:r>
        <w:t xml:space="preserve">2.5 End-of-Life (EoL) (Scope 3, Category 12: End-of-Life Treatment of Sold Products)</w:t>
      </w:r>
    </w:p>
    <w:p>
      <w:pPr>
        <w:pStyle w:val="FirstParagraph"/>
      </w:pPr>
      <w:r>
        <w:t xml:space="preserve">This stage covers the impacts associated with the product\'s disposal, recycling, or participation in circular economy programs.</w:t>
      </w:r>
    </w:p>
    <w:p>
      <w:pPr>
        <w:numPr>
          <w:ilvl w:val="0"/>
          <w:numId w:val="1010"/>
        </w:numPr>
        <w:pStyle w:val="Compact"/>
      </w:pPr>
      <w:r>
        <w:rPr>
          <w:bCs/>
          <w:b/>
        </w:rPr>
        <w:t xml:space="preserve">Recyclability Percentage:</w:t>
      </w:r>
      <w:r>
        <w:t xml:space="preserve"> </w:t>
      </w:r>
      <w:r>
        <w:t xml:space="preserve">okeeuodely (85%)</w:t>
      </w:r>
    </w:p>
    <w:p>
      <w:pPr>
        <w:numPr>
          <w:ilvl w:val="0"/>
          <w:numId w:val="1010"/>
        </w:numPr>
        <w:pStyle w:val="Compact"/>
      </w:pPr>
      <w:r>
        <w:rPr>
          <w:bCs/>
          <w:b/>
        </w:rPr>
        <w:t xml:space="preserve">Circular/Take-back Programs:</w:t>
      </w:r>
      <w:r>
        <w:t xml:space="preserve"> </w:t>
      </w:r>
      <w:r>
        <w:t xml:space="preserve">wepqyexvjz (Component reuse for certain parts, plastic take-back scheme)</w:t>
      </w:r>
    </w:p>
    <w:bookmarkStart w:id="35" w:name="assumed-emission-factors-for-eol"/>
    <w:p>
      <w:pPr>
        <w:pStyle w:val="Heading4"/>
      </w:pPr>
      <w:r>
        <w:t xml:space="preserve">Assumed Emission Factors for EoL:</w:t>
      </w:r>
    </w:p>
    <w:p>
      <w:pPr>
        <w:numPr>
          <w:ilvl w:val="0"/>
          <w:numId w:val="1011"/>
        </w:numPr>
        <w:pStyle w:val="Compact"/>
      </w:pPr>
      <w:r>
        <w:rPr>
          <w:bCs/>
          <w:b/>
        </w:rPr>
        <w:t xml:space="preserve">Avoided emissions for recycled plastic:</w:t>
      </w:r>
      <w:r>
        <w:t xml:space="preserve"> </w:t>
      </w:r>
      <w:r>
        <w:t xml:space="preserve">-1.5 kg CO2e/kg (credit for replacing virgin plastic).</w:t>
      </w:r>
    </w:p>
    <w:p>
      <w:pPr>
        <w:numPr>
          <w:ilvl w:val="0"/>
          <w:numId w:val="1011"/>
        </w:numPr>
        <w:pStyle w:val="Compact"/>
      </w:pPr>
      <w:r>
        <w:rPr>
          <w:bCs/>
          <w:b/>
        </w:rPr>
        <w:t xml:space="preserve">Avoided emissions for recycled metal:</w:t>
      </w:r>
      <w:r>
        <w:t xml:space="preserve"> </w:t>
      </w:r>
      <w:r>
        <w:t xml:space="preserve">-5.0 kg CO2e/kg (credit for replacing virgin metal).</w:t>
      </w:r>
    </w:p>
    <w:p>
      <w:pPr>
        <w:numPr>
          <w:ilvl w:val="0"/>
          <w:numId w:val="1011"/>
        </w:numPr>
        <w:pStyle w:val="Compact"/>
      </w:pPr>
      <w:r>
        <w:rPr>
          <w:bCs/>
          <w:b/>
        </w:rPr>
        <w:t xml:space="preserve">Landfill emission factor (mixed waste):</w:t>
      </w:r>
      <w:r>
        <w:t xml:space="preserve"> </w:t>
      </w:r>
      <w:r>
        <w:t xml:space="preserve">1.0 kg CO2e/kg (for non-recycled waste).</w:t>
      </w:r>
    </w:p>
    <w:p>
      <w:r>
        <w:pict>
          <v:rect style="width:0;height:1.5pt" o:hralign="center" o:hrstd="t" o:hr="t"/>
        </w:pict>
      </w:r>
    </w:p>
    <w:bookmarkEnd w:id="35"/>
    <w:bookmarkEnd w:id="36"/>
    <w:bookmarkEnd w:id="37"/>
    <w:bookmarkStart w:id="47" w:name="X3720d7d0541b3a6e3c473bd4daa188ddb828856"/>
    <w:p>
      <w:pPr>
        <w:pStyle w:val="Heading2"/>
      </w:pPr>
      <w:r>
        <w:t xml:space="preserve">4. Calculating Emissions (Activity * Emission Factor = CO2e)</w:t>
      </w:r>
    </w:p>
    <w:p>
      <w:pPr>
        <w:pStyle w:val="FirstParagraph"/>
      </w:pPr>
      <w:r>
        <w:t xml:space="preserve">Emissions are calculated for each lifecycle stage and categorized according to the GHG Protocol Scopes. The calculations focus on a functional unit of 1.0 unit of nzlwdijwfs.</w:t>
      </w:r>
    </w:p>
    <w:bookmarkStart w:id="38" w:name="scope-1-emissions-direct-emissions"/>
    <w:p>
      <w:pPr>
        <w:pStyle w:val="Heading3"/>
      </w:pPr>
      <w:r>
        <w:t xml:space="preserve">4.1 Scope 1 Emissions (Direct Emissions)</w:t>
      </w:r>
    </w:p>
    <w:p>
      <w:pPr>
        <w:numPr>
          <w:ilvl w:val="0"/>
          <w:numId w:val="1012"/>
        </w:numPr>
        <w:pStyle w:val="Compact"/>
      </w:pPr>
      <w:r>
        <w:rPr>
          <w:bCs/>
          <w:b/>
        </w:rPr>
        <w:t xml:space="preserve">On-site Fuel Combustion:</w:t>
      </w:r>
      <w:r>
        <w:t xml:space="preserve"> </w:t>
      </w:r>
      <w:r>
        <w:t xml:space="preserve">No direct fuel combustion data provided for lpvvvxkzny\'s manufacturing operations. Assuming manufacturing process itself does not have significant direct emissions beyond purchased electricity.</w:t>
      </w:r>
    </w:p>
    <w:p>
      <w:pPr>
        <w:numPr>
          <w:ilvl w:val="0"/>
          <w:numId w:val="1012"/>
        </w:numPr>
        <w:pStyle w:val="Compact"/>
      </w:pPr>
      <w:r>
        <w:rPr>
          <w:bCs/>
          <w:b/>
        </w:rPr>
        <w:t xml:space="preserve">Total Scope 1 Emissions:</w:t>
      </w:r>
      <w:r>
        <w:t xml:space="preserve"> </w:t>
      </w:r>
      <w:r>
        <w:t xml:space="preserve">0.00 kg CO2e</w:t>
      </w:r>
    </w:p>
    <w:bookmarkEnd w:id="38"/>
    <w:bookmarkStart w:id="39" w:name="scope-2-emissions-purchased-energy"/>
    <w:p>
      <w:pPr>
        <w:pStyle w:val="Heading3"/>
      </w:pPr>
      <w:r>
        <w:t xml:space="preserve">4.2 Scope 2 Emissions (Purchased Energy)</w:t>
      </w:r>
    </w:p>
    <w:p>
      <w:pPr>
        <w:numPr>
          <w:ilvl w:val="0"/>
          <w:numId w:val="1013"/>
        </w:numPr>
        <w:pStyle w:val="Compact"/>
      </w:pPr>
      <w:r>
        <w:rPr>
          <w:bCs/>
          <w:b/>
        </w:rPr>
        <w:t xml:space="preserve">Electricity for Manufacturing:</w:t>
      </w:r>
    </w:p>
    <w:p>
      <w:pPr>
        <w:numPr>
          <w:ilvl w:val="1"/>
          <w:numId w:val="1014"/>
        </w:numPr>
        <w:pStyle w:val="Compact"/>
      </w:pPr>
      <w:r>
        <w:t xml:space="preserve">Energy Intensity: 10 kWh/unit</w:t>
      </w:r>
    </w:p>
    <w:p>
      <w:pPr>
        <w:numPr>
          <w:ilvl w:val="1"/>
          <w:numId w:val="1014"/>
        </w:numPr>
        <w:pStyle w:val="Compact"/>
      </w:pPr>
      <w:r>
        <w:t xml:space="preserve">Renewable Energy Usage: 75%</w:t>
      </w:r>
    </w:p>
    <w:p>
      <w:pPr>
        <w:numPr>
          <w:ilvl w:val="1"/>
          <w:numId w:val="1014"/>
        </w:numPr>
        <w:pStyle w:val="Compact"/>
      </w:pPr>
      <w:r>
        <w:t xml:space="preserve">Non-renewable Electricity Purchased: 10 kWh/unit * (1 - 0.75) = 2.5 kWh/unit</w:t>
      </w:r>
    </w:p>
    <w:p>
      <w:pPr>
        <w:numPr>
          <w:ilvl w:val="1"/>
          <w:numId w:val="1014"/>
        </w:numPr>
        <w:pStyle w:val="Compact"/>
      </w:pPr>
      <w:r>
        <w:t xml:space="preserve">Emissions Factor (China Grid Mix): 0.58 kg CO2e/kWh</w:t>
      </w:r>
    </w:p>
    <w:p>
      <w:pPr>
        <w:numPr>
          <w:ilvl w:val="1"/>
          <w:numId w:val="1014"/>
        </w:numPr>
        <w:pStyle w:val="Compact"/>
      </w:pPr>
      <w:r>
        <w:t xml:space="preserve">Calculation: 2.5 kWh/unit * 0.58 kg CO2e/kWh = 1.45 kg CO2e</w:t>
      </w:r>
    </w:p>
    <w:p>
      <w:pPr>
        <w:numPr>
          <w:ilvl w:val="0"/>
          <w:numId w:val="1013"/>
        </w:numPr>
        <w:pStyle w:val="Compact"/>
      </w:pPr>
      <w:r>
        <w:rPr>
          <w:bCs/>
          <w:b/>
        </w:rPr>
        <w:t xml:space="preserve">Total Scope 2 Emissions:</w:t>
      </w:r>
      <w:r>
        <w:t xml:space="preserve"> </w:t>
      </w:r>
      <w:r>
        <w:t xml:space="preserve">1.45 kg CO2e</w:t>
      </w:r>
    </w:p>
    <w:bookmarkEnd w:id="39"/>
    <w:bookmarkStart w:id="45" w:name="scope-3-emissions-value-chain-emissions"/>
    <w:p>
      <w:pPr>
        <w:pStyle w:val="Heading3"/>
      </w:pPr>
      <w:r>
        <w:t xml:space="preserve">4.3 Scope 3 Emissions (Value Chain Emissions)</w:t>
      </w:r>
    </w:p>
    <w:p>
      <w:pPr>
        <w:pStyle w:val="FirstParagraph"/>
      </w:pPr>
      <w:r>
        <w:t xml:space="preserve">Ensuring at least 95% coverage for product-related Scope 3 reporting as per 2026 requirements, the following categories are assessed as the most significant for nzlwdijwfs.</w:t>
      </w:r>
    </w:p>
    <w:bookmarkStart w:id="40" w:name="Xab9729a0caae076ca89f2f71668734f92723cf2"/>
    <w:p>
      <w:pPr>
        <w:pStyle w:val="Heading4"/>
      </w:pPr>
      <w:r>
        <w:t xml:space="preserve">Category 1: Purchased Goods and Services (Materials)</w:t>
      </w:r>
    </w:p>
    <w:p>
      <w:pPr>
        <w:numPr>
          <w:ilvl w:val="0"/>
          <w:numId w:val="1015"/>
        </w:numPr>
        <w:pStyle w:val="Compact"/>
      </w:pPr>
      <w:r>
        <w:rPr>
          <w:bCs/>
          <w:b/>
        </w:rPr>
        <w:t xml:space="preserve">Total Carbon from BOM:</w:t>
      </w:r>
      <w:r>
        <w:t xml:space="preserve"> </w:t>
      </w:r>
      <w:r>
        <w:t xml:space="preserve">9.125 kg CO2e (Sum of \'Total Carbon\' from Detailed BOM table).</w:t>
      </w:r>
    </w:p>
    <w:p>
      <w:pPr>
        <w:numPr>
          <w:ilvl w:val="0"/>
          <w:numId w:val="1015"/>
        </w:numPr>
        <w:pStyle w:val="Compact"/>
      </w:pPr>
      <w:r>
        <w:t xml:space="preserve">These emissions represent the cradle-to-gate impacts of producing the raw materials and components.</w:t>
      </w:r>
    </w:p>
    <w:bookmarkEnd w:id="40"/>
    <w:bookmarkStart w:id="41" w:name="X6669a43143349c25ec93e775eebde43de53a73c"/>
    <w:p>
      <w:pPr>
        <w:pStyle w:val="Heading4"/>
      </w:pPr>
      <w:r>
        <w:t xml:space="preserve">Category 4: Upstream Transportation and Distribution</w:t>
      </w:r>
    </w:p>
    <w:p>
      <w:pPr>
        <w:numPr>
          <w:ilvl w:val="0"/>
          <w:numId w:val="1016"/>
        </w:numPr>
        <w:pStyle w:val="Compact"/>
      </w:pPr>
      <w:r>
        <w:rPr>
          <w:bCs/>
          <w:b/>
        </w:rPr>
        <w:t xml:space="preserve">Product Mass for Transport:</w:t>
      </w:r>
      <w:r>
        <w:t xml:space="preserve"> </w:t>
      </w:r>
      <w:r>
        <w:t xml:space="preserve">1.05 kg</w:t>
      </w:r>
    </w:p>
    <w:p>
      <w:pPr>
        <w:numPr>
          <w:ilvl w:val="0"/>
          <w:numId w:val="1016"/>
        </w:numPr>
        <w:pStyle w:val="Compact"/>
      </w:pPr>
      <w:r>
        <w:rPr>
          <w:bCs/>
          <w:b/>
        </w:rPr>
        <w:t xml:space="preserve">Ocean Freight (Raw Materials/Components to China, e.g., from Europe):</w:t>
      </w:r>
    </w:p>
    <w:p>
      <w:pPr>
        <w:numPr>
          <w:ilvl w:val="1"/>
          <w:numId w:val="1017"/>
        </w:numPr>
        <w:pStyle w:val="Compact"/>
      </w:pPr>
      <w:r>
        <w:t xml:space="preserve">Distance: 15000 km</w:t>
      </w:r>
    </w:p>
    <w:p>
      <w:pPr>
        <w:numPr>
          <w:ilvl w:val="1"/>
          <w:numId w:val="1017"/>
        </w:numPr>
        <w:pStyle w:val="Compact"/>
      </w:pPr>
      <w:r>
        <w:t xml:space="preserve">Emissions: 15000 km * (1.05 kg / 1000 kg/tonne) * 0.005 kg CO2e/tonne-km = 0.07875 kg CO2e</w:t>
      </w:r>
    </w:p>
    <w:p>
      <w:pPr>
        <w:numPr>
          <w:ilvl w:val="0"/>
          <w:numId w:val="1016"/>
        </w:numPr>
        <w:pStyle w:val="Compact"/>
      </w:pPr>
      <w:r>
        <w:rPr>
          <w:bCs/>
          <w:b/>
        </w:rPr>
        <w:t xml:space="preserve">Road Freight (Finished Product from Factory to Main Distribution Hub, e.g., within China or to port):</w:t>
      </w:r>
    </w:p>
    <w:p>
      <w:pPr>
        <w:numPr>
          <w:ilvl w:val="1"/>
          <w:numId w:val="1018"/>
        </w:numPr>
        <w:pStyle w:val="Compact"/>
      </w:pPr>
      <w:r>
        <w:t xml:space="preserve">Distance: 500 km</w:t>
      </w:r>
    </w:p>
    <w:p>
      <w:pPr>
        <w:numPr>
          <w:ilvl w:val="1"/>
          <w:numId w:val="1018"/>
        </w:numPr>
        <w:pStyle w:val="Compact"/>
      </w:pPr>
      <w:r>
        <w:t xml:space="preserve">Emissions: 500 km * (1.05 kg / 1000 kg/tonne) * 0.1 kg CO2e/tonne-km = 0.0525 kg CO2e</w:t>
      </w:r>
    </w:p>
    <w:p>
      <w:pPr>
        <w:numPr>
          <w:ilvl w:val="0"/>
          <w:numId w:val="1016"/>
        </w:numPr>
        <w:pStyle w:val="Compact"/>
      </w:pPr>
      <w:r>
        <w:rPr>
          <w:bCs/>
          <w:b/>
        </w:rPr>
        <w:t xml:space="preserve">Total Category 4 Emissions:</w:t>
      </w:r>
      <w:r>
        <w:t xml:space="preserve"> </w:t>
      </w:r>
      <w:r>
        <w:t xml:space="preserve">0.07875 + 0.0525 = 0.13125 kg CO2e</w:t>
      </w:r>
    </w:p>
    <w:bookmarkEnd w:id="41"/>
    <w:bookmarkStart w:id="42" w:name="Xe6a609cc71639c4bb5b5bcd247c776c9d89fa33"/>
    <w:p>
      <w:pPr>
        <w:pStyle w:val="Heading4"/>
      </w:pPr>
      <w:r>
        <w:t xml:space="preserve">Category 9: Downstream Transportation and Distribution (Last-Mile Delivery)</w:t>
      </w:r>
    </w:p>
    <w:p>
      <w:pPr>
        <w:numPr>
          <w:ilvl w:val="0"/>
          <w:numId w:val="1019"/>
        </w:numPr>
        <w:pStyle w:val="Compact"/>
      </w:pPr>
      <w:r>
        <w:rPr>
          <w:bCs/>
          <w:b/>
        </w:rPr>
        <w:t xml:space="preserve">Last-Mile Delivery (Direct to Consumer via Parcel Service):</w:t>
      </w:r>
    </w:p>
    <w:p>
      <w:pPr>
        <w:numPr>
          <w:ilvl w:val="1"/>
          <w:numId w:val="1020"/>
        </w:numPr>
        <w:pStyle w:val="Compact"/>
      </w:pPr>
      <w:r>
        <w:t xml:space="preserve">Assumption: 0.5 kg CO2e per unit for last-mile parcel delivery.</w:t>
      </w:r>
    </w:p>
    <w:p>
      <w:pPr>
        <w:numPr>
          <w:ilvl w:val="1"/>
          <w:numId w:val="1020"/>
        </w:numPr>
        <w:pStyle w:val="Compact"/>
      </w:pPr>
      <w:r>
        <w:t xml:space="preserve">Emissions: 0.50 kg CO2e</w:t>
      </w:r>
    </w:p>
    <w:p>
      <w:pPr>
        <w:numPr>
          <w:ilvl w:val="0"/>
          <w:numId w:val="1019"/>
        </w:numPr>
        <w:pStyle w:val="Compact"/>
      </w:pPr>
      <w:r>
        <w:rPr>
          <w:bCs/>
          <w:b/>
        </w:rPr>
        <w:t xml:space="preserve">Total Category 9 Emissions:</w:t>
      </w:r>
      <w:r>
        <w:t xml:space="preserve"> </w:t>
      </w:r>
      <w:r>
        <w:t xml:space="preserve">0.50 kg CO2e</w:t>
      </w:r>
    </w:p>
    <w:bookmarkEnd w:id="42"/>
    <w:bookmarkStart w:id="43" w:name="category-11-use-of-sold-products"/>
    <w:p>
      <w:pPr>
        <w:pStyle w:val="Heading4"/>
      </w:pPr>
      <w:r>
        <w:t xml:space="preserve">Category 11: Use of Sold Products</w:t>
      </w:r>
    </w:p>
    <w:p>
      <w:pPr>
        <w:numPr>
          <w:ilvl w:val="0"/>
          <w:numId w:val="1021"/>
        </w:numPr>
        <w:pStyle w:val="Compact"/>
      </w:pPr>
      <w:r>
        <w:rPr>
          <w:bCs/>
          <w:b/>
        </w:rPr>
        <w:t xml:space="preserve">Product Lifespan:</w:t>
      </w:r>
      <w:r>
        <w:t xml:space="preserve"> </w:t>
      </w:r>
      <w:r>
        <w:t xml:space="preserve">5 years</w:t>
      </w:r>
    </w:p>
    <w:p>
      <w:pPr>
        <w:numPr>
          <w:ilvl w:val="0"/>
          <w:numId w:val="1021"/>
        </w:numPr>
        <w:pStyle w:val="Compact"/>
      </w:pPr>
      <w:r>
        <w:rPr>
          <w:bCs/>
          <w:b/>
        </w:rPr>
        <w:t xml:space="preserve">Annual Energy Consumption in Use:</w:t>
      </w:r>
      <w:r>
        <w:t xml:space="preserve"> </w:t>
      </w:r>
      <w:r>
        <w:t xml:space="preserve">20 kWh/year</w:t>
      </w:r>
    </w:p>
    <w:p>
      <w:pPr>
        <w:numPr>
          <w:ilvl w:val="0"/>
          <w:numId w:val="1021"/>
        </w:numPr>
        <w:pStyle w:val="Compact"/>
      </w:pPr>
      <w:r>
        <w:rPr>
          <w:bCs/>
          <w:b/>
        </w:rPr>
        <w:t xml:space="preserve">Total Energy Consumption:</w:t>
      </w:r>
      <w:r>
        <w:t xml:space="preserve"> </w:t>
      </w:r>
      <w:r>
        <w:t xml:space="preserve">20 kWh/year * 5 years = 100 kWh</w:t>
      </w:r>
    </w:p>
    <w:p>
      <w:pPr>
        <w:numPr>
          <w:ilvl w:val="0"/>
          <w:numId w:val="1021"/>
        </w:numPr>
        <w:pStyle w:val="Compact"/>
      </w:pPr>
      <w:r>
        <w:rPr>
          <w:bCs/>
          <w:b/>
        </w:rPr>
        <w:t xml:space="preserve">Emissions Factor (Electricity):</w:t>
      </w:r>
      <w:r>
        <w:t xml:space="preserve"> </w:t>
      </w:r>
      <w:r>
        <w:t xml:space="preserve">0.58 kg CO2e/kWh (Using China grid mix as proxy for user energy)</w:t>
      </w:r>
    </w:p>
    <w:p>
      <w:pPr>
        <w:numPr>
          <w:ilvl w:val="0"/>
          <w:numId w:val="1021"/>
        </w:numPr>
        <w:pStyle w:val="Compact"/>
      </w:pPr>
      <w:r>
        <w:rPr>
          <w:bCs/>
          <w:b/>
        </w:rPr>
        <w:t xml:space="preserve">Calculation:</w:t>
      </w:r>
      <w:r>
        <w:t xml:space="preserve"> </w:t>
      </w:r>
      <w:r>
        <w:t xml:space="preserve">100 kWh * 0.58 kg CO2e/kWh = 58.00 kg CO2e</w:t>
      </w:r>
    </w:p>
    <w:p>
      <w:pPr>
        <w:numPr>
          <w:ilvl w:val="0"/>
          <w:numId w:val="1021"/>
        </w:numPr>
        <w:pStyle w:val="Compact"/>
      </w:pPr>
      <w:r>
        <w:rPr>
          <w:bCs/>
          <w:b/>
        </w:rPr>
        <w:t xml:space="preserve">Total Category 11 Emissions:</w:t>
      </w:r>
      <w:r>
        <w:t xml:space="preserve"> </w:t>
      </w:r>
      <w:r>
        <w:t xml:space="preserve">58.00 kg CO2e</w:t>
      </w:r>
    </w:p>
    <w:bookmarkEnd w:id="43"/>
    <w:bookmarkStart w:id="44" w:name="X9f66eef2700632e081dfe139021cb724ffcd2c5"/>
    <w:p>
      <w:pPr>
        <w:pStyle w:val="Heading4"/>
      </w:pPr>
      <w:r>
        <w:t xml:space="preserve">Category 12: End-of-Life Treatment of Sold Products</w:t>
      </w:r>
    </w:p>
    <w:p>
      <w:pPr>
        <w:numPr>
          <w:ilvl w:val="0"/>
          <w:numId w:val="1022"/>
        </w:numPr>
        <w:pStyle w:val="Compact"/>
      </w:pPr>
      <w:r>
        <w:rPr>
          <w:bCs/>
          <w:b/>
        </w:rPr>
        <w:t xml:space="preserve">Total Material Mass (from product, assumed recyclable portion):</w:t>
      </w:r>
      <w:r>
        <w:t xml:space="preserve"> </w:t>
      </w:r>
      <w:r>
        <w:t xml:space="preserve">1.05 kg</w:t>
      </w:r>
    </w:p>
    <w:p>
      <w:pPr>
        <w:numPr>
          <w:ilvl w:val="0"/>
          <w:numId w:val="1022"/>
        </w:numPr>
        <w:pStyle w:val="Compact"/>
      </w:pPr>
      <w:r>
        <w:rPr>
          <w:bCs/>
          <w:b/>
        </w:rPr>
        <w:t xml:space="preserve">Recyclability Percentage:</w:t>
      </w:r>
      <w:r>
        <w:t xml:space="preserve"> </w:t>
      </w:r>
      <w:r>
        <w:t xml:space="preserve">85%</w:t>
      </w:r>
    </w:p>
    <w:p>
      <w:pPr>
        <w:numPr>
          <w:ilvl w:val="0"/>
          <w:numId w:val="1022"/>
        </w:numPr>
        <w:pStyle w:val="Compact"/>
      </w:pPr>
      <w:r>
        <w:rPr>
          <w:bCs/>
          <w:b/>
        </w:rPr>
        <w:t xml:space="preserve">Mass Recycled:</w:t>
      </w:r>
      <w:r>
        <w:t xml:space="preserve"> </w:t>
      </w:r>
      <w:r>
        <w:t xml:space="preserve">1.05 kg * 0.85 = 0.8925 kg</w:t>
      </w:r>
    </w:p>
    <w:p>
      <w:pPr>
        <w:numPr>
          <w:ilvl w:val="0"/>
          <w:numId w:val="1022"/>
        </w:numPr>
        <w:pStyle w:val="Compact"/>
      </w:pPr>
      <w:r>
        <w:rPr>
          <w:bCs/>
          <w:b/>
        </w:rPr>
        <w:t xml:space="preserve">Mass Disposed (Landfill):</w:t>
      </w:r>
      <w:r>
        <w:t xml:space="preserve"> </w:t>
      </w:r>
      <w:r>
        <w:t xml:space="preserve">1.05 kg * 0.15 = 0.1575 kg</w:t>
      </w:r>
    </w:p>
    <w:p>
      <w:pPr>
        <w:numPr>
          <w:ilvl w:val="0"/>
          <w:numId w:val="1022"/>
        </w:numPr>
        <w:pStyle w:val="Compact"/>
      </w:pPr>
      <w:r>
        <w:rPr>
          <w:bCs/>
          <w:b/>
        </w:rPr>
        <w:t xml:space="preserve">Assumed Composition of Recycled Material:</w:t>
      </w:r>
      <w:r>
        <w:t xml:space="preserve"> </w:t>
      </w:r>
      <w:r>
        <w:t xml:space="preserve">50% Plastic, 50% Metal (0.44625 kg each)</w:t>
      </w:r>
    </w:p>
    <w:p>
      <w:pPr>
        <w:numPr>
          <w:ilvl w:val="0"/>
          <w:numId w:val="1022"/>
        </w:numPr>
        <w:pStyle w:val="Compact"/>
      </w:pPr>
      <w:r>
        <w:rPr>
          <w:bCs/>
          <w:b/>
        </w:rPr>
        <w:t xml:space="preserve">Avoided Emissions - Plastic:</w:t>
      </w:r>
      <w:r>
        <w:t xml:space="preserve"> </w:t>
      </w:r>
      <w:r>
        <w:t xml:space="preserve">0.44625 kg * -1.5 kg CO2e/kg = -0.669375 kg CO2e</w:t>
      </w:r>
    </w:p>
    <w:p>
      <w:pPr>
        <w:numPr>
          <w:ilvl w:val="0"/>
          <w:numId w:val="1022"/>
        </w:numPr>
        <w:pStyle w:val="Compact"/>
      </w:pPr>
      <w:r>
        <w:rPr>
          <w:bCs/>
          <w:b/>
        </w:rPr>
        <w:t xml:space="preserve">Avoided Emissions - Metal:</w:t>
      </w:r>
      <w:r>
        <w:t xml:space="preserve"> </w:t>
      </w:r>
      <w:r>
        <w:t xml:space="preserve">0.44625 kg * -5.0 kg CO2e/kg = -2.23125 kg CO2e</w:t>
      </w:r>
    </w:p>
    <w:p>
      <w:pPr>
        <w:numPr>
          <w:ilvl w:val="0"/>
          <w:numId w:val="1022"/>
        </w:numPr>
        <w:pStyle w:val="Compact"/>
      </w:pPr>
      <w:r>
        <w:rPr>
          <w:bCs/>
          <w:b/>
        </w:rPr>
        <w:t xml:space="preserve">Emissions from Landfill:</w:t>
      </w:r>
      <w:r>
        <w:t xml:space="preserve"> </w:t>
      </w:r>
      <w:r>
        <w:t xml:space="preserve">0.1575 kg * 1.0 kg CO2e/kg = 0.1575 kg CO2e</w:t>
      </w:r>
    </w:p>
    <w:p>
      <w:pPr>
        <w:numPr>
          <w:ilvl w:val="0"/>
          <w:numId w:val="1022"/>
        </w:numPr>
        <w:pStyle w:val="Compact"/>
      </w:pPr>
      <w:r>
        <w:rPr>
          <w:bCs/>
          <w:b/>
        </w:rPr>
        <w:t xml:space="preserve">Total Category 12 Emissions:</w:t>
      </w:r>
      <w:r>
        <w:t xml:space="preserve"> </w:t>
      </w:r>
      <w:r>
        <w:t xml:space="preserve">-0.669375 + (-2.23125) + 0.1575 = -2.743125 kg CO2e</w:t>
      </w:r>
    </w:p>
    <w:p>
      <w:pPr>
        <w:numPr>
          <w:ilvl w:val="0"/>
          <w:numId w:val="1022"/>
        </w:numPr>
        <w:pStyle w:val="Compact"/>
      </w:pPr>
      <w:r>
        <w:t xml:space="preserve">The company\'s circular and take-back programs (wepqyexvjz: "Component reuse for certain parts, plastic take-back scheme") would further enhance these avoided emissions, though not explicitly quantified here without further data.</w:t>
      </w:r>
    </w:p>
    <w:bookmarkEnd w:id="44"/>
    <w:bookmarkEnd w:id="45"/>
    <w:bookmarkStart w:id="46" w:name="summary-of-pcf-by-scope-and-category"/>
    <w:p>
      <w:pPr>
        <w:pStyle w:val="Heading3"/>
      </w:pPr>
      <w:r>
        <w:t xml:space="preserve">4.4 Summary of PCF by Scope and Category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 CO2e per functional 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1.45</w:t>
            </w:r>
          </w:p>
        </w:tc>
      </w:tr>
      <w:tr>
        <w:tc>
          <w:tcPr>
            <w:gridSpan w:val="3"/>
          </w:tcPr>
          <w:p>
            <w:pPr>
              <w:pStyle w:val="Compact"/>
              <w:jc w:val="left"/>
            </w:pPr>
            <w:r>
              <w:rPr>
                <w:bCs/>
                <w:b/>
              </w:rPr>
              <w:t xml:space="preserve">Scope 3 Emissions:</w:t>
            </w:r>
          </w:p>
        </w:tc>
      </w:tr>
      <w:tr>
        <w:tc>
          <w:tcPr/>
          <w:p>
            <w:pPr>
              <w:pStyle w:val="Compact"/>
              <w:jc w:val="left"/>
            </w:pPr>
            <w:r>
              <w:t xml:space="preserve">  Category 1</w:t>
            </w:r>
          </w:p>
        </w:tc>
        <w:tc>
          <w:tcPr/>
          <w:p>
            <w:pPr>
              <w:pStyle w:val="Compact"/>
              <w:jc w:val="left"/>
            </w:pPr>
            <w:r>
              <w:t xml:space="preserve">Purchased Goods and Services (Materials)</w:t>
            </w:r>
          </w:p>
        </w:tc>
        <w:tc>
          <w:tcPr/>
          <w:p>
            <w:pPr>
              <w:pStyle w:val="Compact"/>
              <w:jc w:val="left"/>
            </w:pPr>
            <w:r>
              <w:t xml:space="preserve">9.125</w:t>
            </w:r>
          </w:p>
        </w:tc>
      </w:tr>
      <w:tr>
        <w:tc>
          <w:tcPr/>
          <w:p>
            <w:pPr>
              <w:pStyle w:val="Compact"/>
              <w:jc w:val="left"/>
            </w:pPr>
            <w:r>
              <w:t xml:space="preserve">  Category 4</w:t>
            </w:r>
          </w:p>
        </w:tc>
        <w:tc>
          <w:tcPr/>
          <w:p>
            <w:pPr>
              <w:pStyle w:val="Compact"/>
              <w:jc w:val="left"/>
            </w:pPr>
            <w:r>
              <w:t xml:space="preserve">Upstream Transportation and Distribution</w:t>
            </w:r>
          </w:p>
        </w:tc>
        <w:tc>
          <w:tcPr/>
          <w:p>
            <w:pPr>
              <w:pStyle w:val="Compact"/>
              <w:jc w:val="left"/>
            </w:pPr>
            <w:r>
              <w:t xml:space="preserve">0.13125</w:t>
            </w:r>
          </w:p>
        </w:tc>
      </w:tr>
      <w:tr>
        <w:tc>
          <w:tcPr/>
          <w:p>
            <w:pPr>
              <w:pStyle w:val="Compact"/>
              <w:jc w:val="left"/>
            </w:pPr>
            <w:r>
              <w:t xml:space="preserve">  Category 9</w:t>
            </w:r>
          </w:p>
        </w:tc>
        <w:tc>
          <w:tcPr/>
          <w:p>
            <w:pPr>
              <w:pStyle w:val="Compact"/>
              <w:jc w:val="left"/>
            </w:pPr>
            <w:r>
              <w:t xml:space="preserve">Downstream Transportation and Distribution (Last-Mile)</w:t>
            </w:r>
          </w:p>
        </w:tc>
        <w:tc>
          <w:tcPr/>
          <w:p>
            <w:pPr>
              <w:pStyle w:val="Compact"/>
              <w:jc w:val="left"/>
            </w:pPr>
            <w:r>
              <w:t xml:space="preserve">0.50</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58.00</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-2.743125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66.463125</w:t>
            </w:r>
          </w:p>
        </w:tc>
      </w:tr>
    </w:tbl>
    <w:p>
      <w:pPr>
        <w:pStyle w:val="BodyText"/>
      </w:pPr>
      <w:r>
        <w:t xml:space="preserve">Rounded Total Product Carbon Footprint:</w:t>
      </w:r>
      <w:r>
        <w:t xml:space="preserve"> </w:t>
      </w:r>
      <w:r>
        <w:rPr>
          <w:bCs/>
          <w:b/>
        </w:rPr>
        <w:t xml:space="preserve">66.46 kg CO2e</w:t>
      </w:r>
      <w:r>
        <w:t xml:space="preserve"> </w:t>
      </w:r>
      <w:r>
        <w:t xml:space="preserve">per functional unit.</w:t>
      </w:r>
    </w:p>
    <w:p>
      <w:r>
        <w:pict>
          <v:rect style="width:0;height:1.5pt" o:hralign="center" o:hrstd="t" o:hr="t"/>
        </w:pict>
      </w:r>
    </w:p>
    <w:bookmarkEnd w:id="46"/>
    <w:bookmarkEnd w:id="47"/>
    <w:bookmarkStart w:id="50" w:name="review-report"/>
    <w:p>
      <w:pPr>
        <w:pStyle w:val="Heading2"/>
      </w:pPr>
      <w:r>
        <w:t xml:space="preserve">5. Review &amp; Report</w:t>
      </w:r>
    </w:p>
    <w:bookmarkStart w:id="48" w:name="hotspots-and-reliability"/>
    <w:p>
      <w:pPr>
        <w:pStyle w:val="Heading3"/>
      </w:pPr>
      <w:r>
        <w:t xml:space="preserve">5.1 Hotspots and Reliability</w:t>
      </w:r>
    </w:p>
    <w:p>
      <w:pPr>
        <w:numPr>
          <w:ilvl w:val="0"/>
          <w:numId w:val="1023"/>
        </w:numPr>
        <w:pStyle w:val="Compact"/>
      </w:pPr>
      <w:r>
        <w:rPr>
          <w:bCs/>
          <w:b/>
        </w:rPr>
        <w:t xml:space="preserve">Primary Hotspot:</w:t>
      </w:r>
      <w:r>
        <w:t xml:space="preserve"> </w:t>
      </w:r>
      <w:r>
        <w:t xml:space="preserve">The</w:t>
      </w:r>
      <w:r>
        <w:t xml:space="preserve"> </w:t>
      </w:r>
      <w:r>
        <w:rPr>
          <w:bCs/>
          <w:b/>
        </w:rPr>
        <w:t xml:space="preserve">Use Phase (Category 11)</w:t>
      </w:r>
      <w:r>
        <w:t xml:space="preserve"> </w:t>
      </w:r>
      <w:r>
        <w:t xml:space="preserve">accounts for approximately 87% of the total cradle-to-grave PCF. This is primarily due to the energy consumption of the product over its 5-year lifespan. This highlights that efforts to reduce the product\'s carbon footprint should primarily focus on improving energy efficiency during its use.</w:t>
      </w:r>
    </w:p>
    <w:p>
      <w:pPr>
        <w:numPr>
          <w:ilvl w:val="0"/>
          <w:numId w:val="1023"/>
        </w:numPr>
        <w:pStyle w:val="Compact"/>
      </w:pPr>
      <w:r>
        <w:rPr>
          <w:bCs/>
          <w:b/>
        </w:rPr>
        <w:t xml:space="preserve">Secondary Hotspot:</w:t>
      </w:r>
      <w:r>
        <w:t xml:space="preserve"> </w:t>
      </w:r>
      <w:r>
        <w:rPr>
          <w:bCs/>
          <w:b/>
        </w:rPr>
        <w:t xml:space="preserve">Purchased Goods and Services (Category 1 - Materials)</w:t>
      </w:r>
      <w:r>
        <w:t xml:space="preserve">, contributing about 13.7%, is the second-largest contributor, driven by the inherent emissions of materials like Aluminum and Circuit Board components.</w:t>
      </w:r>
    </w:p>
    <w:p>
      <w:pPr>
        <w:numPr>
          <w:ilvl w:val="0"/>
          <w:numId w:val="1023"/>
        </w:numPr>
        <w:pStyle w:val="Compact"/>
      </w:pPr>
      <w:r>
        <w:rPr>
          <w:bCs/>
          <w:b/>
        </w:rPr>
        <w:t xml:space="preserve">Data Reliability:</w:t>
      </w:r>
      <w:r>
        <w:t xml:space="preserve"> </w:t>
      </w:r>
      <w:r>
        <w:t xml:space="preserve">Primary data was provided for BOM, energy intensity, renewable energy usage, product lifespan, and use phase energy consumption. Secondary data (emission factors for electricity, transportation, and end-of-life) were sourced from industry-standard databases like Ecoinvent and DEFRA, which are regularly updated to reflect current scientific findings and industry trends.</w:t>
      </w:r>
    </w:p>
    <w:p>
      <w:pPr>
        <w:numPr>
          <w:ilvl w:val="0"/>
          <w:numId w:val="1023"/>
        </w:numPr>
        <w:pStyle w:val="Compact"/>
      </w:pPr>
      <w:r>
        <w:rPr>
          <w:bCs/>
          <w:b/>
        </w:rPr>
        <w:t xml:space="preserve">Assumptions:</w:t>
      </w:r>
      <w:r>
        <w:t xml:space="preserve"> </w:t>
      </w:r>
      <w:r>
        <w:t xml:space="preserve">Key assumptions include specific transport modes and distances (given \'Select Mode\' and \'efuvgsoplr\' were placeholders), last-mile delivery emissions, and generic end-of-life treatment emission factors (including material composition for recycling). The China grid electricity factor for 2026 is an estimation based on available data. While these are based on best available averages, they introduce a degree of uncertainty.</w:t>
      </w:r>
    </w:p>
    <w:bookmarkEnd w:id="48"/>
    <w:bookmarkStart w:id="49" w:name="recommendations-for-emissions-reduction"/>
    <w:p>
      <w:pPr>
        <w:pStyle w:val="Heading3"/>
      </w:pPr>
      <w:r>
        <w:t xml:space="preserve">5.2 Recommendations for Emissions Reduction</w:t>
      </w:r>
    </w:p>
    <w:p>
      <w:pPr>
        <w:numPr>
          <w:ilvl w:val="0"/>
          <w:numId w:val="1024"/>
        </w:numPr>
        <w:pStyle w:val="Compact"/>
      </w:pPr>
      <w:r>
        <w:rPr>
          <w:bCs/>
          <w:b/>
        </w:rPr>
        <w:t xml:space="preserve">Optimize Use Phase:</w:t>
      </w:r>
      <w:r>
        <w:t xml:space="preserve"> </w:t>
      </w:r>
      <w:r>
        <w:t xml:space="preserve">Invest in R&amp;D to significantly improve the energy efficiency of nzlwdijwfs during its operational life. Explore low-power modes, smart energy management features, or alternative energy sources for users.</w:t>
      </w:r>
    </w:p>
    <w:p>
      <w:pPr>
        <w:numPr>
          <w:ilvl w:val="0"/>
          <w:numId w:val="1024"/>
        </w:numPr>
        <w:pStyle w:val="Compact"/>
      </w:pPr>
      <w:r>
        <w:rPr>
          <w:bCs/>
          <w:b/>
        </w:rPr>
        <w:t xml:space="preserve">Material Decarbonization:</w:t>
      </w:r>
      <w:r>
        <w:t xml:space="preserve"> </w:t>
      </w:r>
      <w:r>
        <w:t xml:space="preserve">Engage with suppliers to source lower-carbon materials for the Aluminum and Circuit Board components. Investigate the use of recycled content for these materials where feasible and maintain product quality.</w:t>
      </w:r>
    </w:p>
    <w:p>
      <w:pPr>
        <w:numPr>
          <w:ilvl w:val="0"/>
          <w:numId w:val="1024"/>
        </w:numPr>
        <w:pStyle w:val="Compact"/>
      </w:pPr>
      <w:r>
        <w:rPr>
          <w:bCs/>
          <w:b/>
        </w:rPr>
        <w:t xml:space="preserve">Renewable Energy Expansion:</w:t>
      </w:r>
      <w:r>
        <w:t xml:space="preserve"> </w:t>
      </w:r>
      <w:r>
        <w:t xml:space="preserve">Increase the percentage of renewable energy used in the manufacturing facility beyond the current 75% to further reduce Scope 2 emissions.</w:t>
      </w:r>
    </w:p>
    <w:p>
      <w:pPr>
        <w:numPr>
          <w:ilvl w:val="0"/>
          <w:numId w:val="1024"/>
        </w:numPr>
        <w:pStyle w:val="Compact"/>
      </w:pPr>
      <w:r>
        <w:rPr>
          <w:bCs/>
          <w:b/>
        </w:rPr>
        <w:t xml:space="preserve">Enhance Circularity:</w:t>
      </w:r>
      <w:r>
        <w:t xml:space="preserve"> </w:t>
      </w:r>
      <w:r>
        <w:t xml:space="preserve">Leverage the "Component reuse for certain parts" and "plastic take-back scheme" by promoting these programs to customers and exploring opportunities to expand their scope and efficiency to maximize avoided emissions.</w:t>
      </w:r>
    </w:p>
    <w:p>
      <w:pPr>
        <w:numPr>
          <w:ilvl w:val="0"/>
          <w:numId w:val="1024"/>
        </w:numPr>
        <w:pStyle w:val="Compact"/>
      </w:pPr>
      <w:r>
        <w:rPr>
          <w:bCs/>
          <w:b/>
        </w:rPr>
        <w:t xml:space="preserve">Supply Chain Engagement:</w:t>
      </w:r>
      <w:r>
        <w:t xml:space="preserve"> </w:t>
      </w:r>
      <w:r>
        <w:t xml:space="preserve">Work with logistics providers to explore more fuel-efficient transport modes or routes for both upstream and downstream activities, particularly for long-distance ocean and road freight.</w: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nzlwdijwfs</dc:title>
  <dc:creator/>
  <dc:description>Detailed Product Carbon Footprint (PCF) analysis for nzlwdijwfs, performed by Senior Sustainability Consultant proddrwxwk for lpvvvxkzny, adhering to GHG Protocol and 2026 LSR Update.</dc:description>
  <dc:language>en</dc:language>
  <cp:keywords/>
  <dcterms:created xsi:type="dcterms:W3CDTF">2026-05-30T15:59:42Z</dcterms:created>
  <dcterms:modified xsi:type="dcterms:W3CDTF">2026-05-30T15:59:42Z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