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nyskkedjjy</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nyskkedjjy"/>
    <w:p>
      <w:pPr>
        <w:pStyle w:val="Heading2"/>
      </w:pPr>
      <w:r>
        <w:t xml:space="preserve">For nyskkedjjy</w:t>
      </w:r>
    </w:p>
    <w:p>
      <w:pPr>
        <w:pStyle w:val="FirstParagraph"/>
      </w:pPr>
      <w:r>
        <w:rPr>
          <w:bCs/>
          <w:b/>
        </w:rPr>
        <w:t xml:space="preserve">Company Name:</w:t>
      </w:r>
      <w:r>
        <w:t xml:space="preserve"> </w:t>
      </w:r>
      <w:r>
        <w:t xml:space="preserve">ehqudizhsk</w:t>
      </w:r>
    </w:p>
    <w:p>
      <w:pPr>
        <w:pStyle w:val="BodyText"/>
      </w:pPr>
      <w:r>
        <w:rPr>
          <w:bCs/>
          <w:b/>
        </w:rPr>
        <w:t xml:space="preserve">Senior Sustainability Consultant:</w:t>
      </w:r>
      <w:r>
        <w:t xml:space="preserve"> </w:t>
      </w:r>
      <w:r>
        <w:t xml:space="preserve">orzkejlivz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by the client. While utmost care has been taken in its preparation, the accuracy of the results is dependent on the completeness and reliability of the input data and the assumptions made in applying general emission factors.</w:t>
      </w:r>
    </w:p>
    <w:bookmarkEnd w:id="20"/>
    <w:bookmarkEnd w:id="21"/>
    <w:bookmarkStart w:id="38" w:name="X98fcf089a8a77a4bb8f48633730af77b3d6666a"/>
    <w:p>
      <w:pPr>
        <w:pStyle w:val="Heading1"/>
      </w:pPr>
      <w:r>
        <w:t xml:space="preserve">Product Carbon Footprint Analysis: nyskkedjjy</w:t>
      </w:r>
    </w:p>
    <w:p>
      <w:pPr>
        <w:pStyle w:val="FirstParagraph"/>
      </w:pPr>
      <w:r>
        <w:rPr>
          <w:bCs/>
          <w:b/>
        </w:rPr>
        <w:t xml:space="preserve">Generated Date:</w:t>
      </w:r>
      <w:r>
        <w:t xml:space="preserve"> </w:t>
      </w:r>
      <w:r>
        <w:t xml:space="preserve">May 24,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"nyskkedjjy" manufactured by ehqudizhsk. Conducted by orzkejlivz, Senior Sustainability Consultant, and adhering to the GHG Protocol, this analysis provides a comprehensive assessment of greenhouse gas (GHG) emissions across the product\'s entire lifecycle. The primary objective is to quantify the carbon impact, identify emission hotspots, and establish a baseline for future sustainability initiatives. The analysis incorporates detailed Bill of Materials (BOM), specific logistics, production energy data, use-phase consumption, and end-of-life scenarios, demonstrating a cradle-to-grave perspective.</w:t>
      </w:r>
    </w:p>
    <w:p>
      <w:r>
        <w:pict>
          <v:rect style="width:0;height:1.5pt" o:hralign="center" o:hrstd="t" o:hr="t"/>
        </w:pict>
      </w:r>
    </w:p>
    <w:bookmarkEnd w:id="22"/>
    <w:bookmarkStart w:id="25" w:name="methodology"/>
    <w:p>
      <w:pPr>
        <w:pStyle w:val="Heading2"/>
      </w:pPr>
      <w:r>
        <w:t xml:space="preserve">Methodology</w:t>
      </w:r>
    </w:p>
    <w:p>
      <w:pPr>
        <w:pStyle w:val="FirstParagraph"/>
      </w:pPr>
      <w:r>
        <w:t xml:space="preserve">The Product Carbon Footprint (PCF) analysis for nyskkedjjy strictly adheres to the Greenhouse Gas Protocol\'s Product Life Cycle Accounting and Reporting Standard. The methodology followed comprises five key steps:</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Identification of all relevant life cycle inventory (LCI) stages and processes.</w:t>
      </w:r>
    </w:p>
    <w:p>
      <w:pPr>
        <w:numPr>
          <w:ilvl w:val="0"/>
          <w:numId w:val="1001"/>
        </w:numPr>
        <w:pStyle w:val="Compact"/>
      </w:pPr>
      <w:r>
        <w:rPr>
          <w:bCs/>
          <w:b/>
        </w:rPr>
        <w:t xml:space="preserve">Collect Data:</w:t>
      </w:r>
      <w:r>
        <w:t xml:space="preserve"> </w:t>
      </w:r>
      <w:r>
        <w:t xml:space="preserve">Gathering of primary and secondary data points for each identified process.</w:t>
      </w:r>
    </w:p>
    <w:p>
      <w:pPr>
        <w:numPr>
          <w:ilvl w:val="0"/>
          <w:numId w:val="1001"/>
        </w:numPr>
        <w:pStyle w:val="Compact"/>
      </w:pPr>
      <w:r>
        <w:rPr>
          <w:bCs/>
          <w:b/>
        </w:rPr>
        <w:t xml:space="preserve">Calculate Emissions:</w:t>
      </w:r>
      <w:r>
        <w:t xml:space="preserve"> </w:t>
      </w:r>
      <w:r>
        <w:t xml:space="preserve">Quantification of GHG emissions by multiplying activity data with appropriate emission factors.</w:t>
      </w:r>
    </w:p>
    <w:p>
      <w:pPr>
        <w:numPr>
          <w:ilvl w:val="0"/>
          <w:numId w:val="1001"/>
        </w:numPr>
        <w:pStyle w:val="Compact"/>
      </w:pPr>
      <w:r>
        <w:rPr>
          <w:bCs/>
          <w:b/>
        </w:rPr>
        <w:t xml:space="preserve">Review &amp; Report:</w:t>
      </w:r>
      <w:r>
        <w:t xml:space="preserve"> </w:t>
      </w:r>
      <w:r>
        <w:t xml:space="preserve">Identification of emission hotspots, assessment of data reliability, and presentation of findings.</w:t>
      </w:r>
    </w:p>
    <w:bookmarkStart w:id="23" w:name="X25ab271e0b973df754491ec5ddcb2d245f47eaf"/>
    <w:p>
      <w:pPr>
        <w:pStyle w:val="Heading3"/>
      </w:pPr>
      <w:r>
        <w:t xml:space="preserve">GHG Protocol Adherence and 2026 LSR Update</w:t>
      </w:r>
    </w:p>
    <w:p>
      <w:pPr>
        <w:pStyle w:val="FirstParagraph"/>
      </w:pPr>
      <w:r>
        <w:t xml:space="preserve">Emissions are categorized into Scope 1 (direct emissions from owned or controlled sources), Scope 2 (indirect emissions from the generation of purchased energy), and Scope 3 (all other indirect emissions that occur in the value chain, both upstream and downstream). For this PCF, the focus is on emissions directly attributable to the product\'s value chain.</w:t>
      </w:r>
    </w:p>
    <w:p>
      <w:pPr>
        <w:pStyle w:val="BodyText"/>
      </w:pPr>
      <w:r>
        <w:t xml:space="preserve">The Land Sector and Removals (LSR) Standard (2026 update) has been considered. However, based on the provided product-specific data, no direct land-use change emissions or significant carbon removals specifically attributable to the product\'s raw material sourcing or manufacturing were identified and therefore are not quantified within this PCF. Future analyses, particularly at an organizational level, would further explore land-based impacts.</w:t>
      </w:r>
    </w:p>
    <w:bookmarkEnd w:id="23"/>
    <w:bookmarkStart w:id="24" w:name="scope-3-compliance"/>
    <w:p>
      <w:pPr>
        <w:pStyle w:val="Heading3"/>
      </w:pPr>
      <w:r>
        <w:t xml:space="preserve">Scope 3 Compliance</w:t>
      </w:r>
    </w:p>
    <w:p>
      <w:pPr>
        <w:pStyle w:val="FirstParagraph"/>
      </w:pPr>
      <w:r>
        <w:t xml:space="preserve">As per 2026 requirements, efforts have been made to ensure comprehensive coverage for Scope 3 reporting. This product-level PCF aims to cover the most significant upstream and downstream value chain emissions directly related to the product nyskkedjjy, representing a substantial portion of its overall footprint. While a corporate-level Scope 3 assessment would include additional organizational categories (e.g., capital goods, employee commuting), this product-focused analysis diligently assesses all provided product-specific Scope 3 parameters. The calculated Scope 3 emissions for nyskkedjjy represent approximately 91.22% of its total carbon footprint.</w:t>
      </w:r>
    </w:p>
    <w:p>
      <w:r>
        <w:pict>
          <v:rect style="width:0;height:1.5pt" o:hralign="center" o:hrstd="t" o:hr="t"/>
        </w:pict>
      </w:r>
    </w:p>
    <w:bookmarkEnd w:id="24"/>
    <w:bookmarkEnd w:id="25"/>
    <w:bookmarkStart w:id="26" w:name="define-scope"/>
    <w:p>
      <w:pPr>
        <w:pStyle w:val="Heading2"/>
      </w:pPr>
      <w:r>
        <w:t xml:space="preserve">1. Define Scope</w:t>
      </w:r>
    </w:p>
    <w:p>
      <w:pPr>
        <w:pStyle w:val="FirstParagraph"/>
      </w:pPr>
      <w:r>
        <w:t xml:space="preserve">The foundational parameters for this Product Carbon Footprint analysis are defined as follows:</w:t>
      </w:r>
    </w:p>
    <w:p>
      <w:pPr>
        <w:numPr>
          <w:ilvl w:val="0"/>
          <w:numId w:val="1002"/>
        </w:numPr>
        <w:pStyle w:val="Compact"/>
      </w:pPr>
      <w:r>
        <w:rPr>
          <w:bCs/>
          <w:b/>
        </w:rPr>
        <w:t xml:space="preserve">Functional Unit:</w:t>
      </w:r>
      <w:r>
        <w:t xml:space="preserve"> </w:t>
      </w:r>
      <w:r>
        <w:t xml:space="preserve">1.0 unit of nyskkedjjy</w:t>
      </w:r>
    </w:p>
    <w:p>
      <w:pPr>
        <w:numPr>
          <w:ilvl w:val="0"/>
          <w:numId w:val="1002"/>
        </w:numPr>
        <w:pStyle w:val="Compact"/>
      </w:pPr>
      <w:r>
        <w:rPr>
          <w:bCs/>
          <w:b/>
        </w:rPr>
        <w:t xml:space="preserve">System Boundary:</w:t>
      </w:r>
      <w:r>
        <w:t xml:space="preserve"> </w:t>
      </w:r>
      <w:r>
        <w:t xml:space="preserve">While the initial parameter specified "factory_gate", the inclusion of detailed \'Use Phase\' and \'End-of-Life\' parameters necessitates a Cradle-to-Grave (or Cradle-to-Circularity) approach for a comprehensive analysis of the product\'s full lifecycle impact. This report therefore reflects a cradle-to-grave boundary to incorporate all provided data points.</w:t>
      </w:r>
    </w:p>
    <w:p>
      <w:pPr>
        <w:numPr>
          <w:ilvl w:val="0"/>
          <w:numId w:val="1002"/>
        </w:numPr>
        <w:pStyle w:val="Compact"/>
      </w:pPr>
      <w:r>
        <w:rPr>
          <w:bCs/>
          <w:b/>
        </w:rPr>
        <w:t xml:space="preserve">Geographic Scope:</w:t>
      </w:r>
      <w:r>
        <w:t xml:space="preserve"> </w:t>
      </w:r>
      <w:r>
        <w:t xml:space="preserve">Final Production Country: China, Supply Chain Focus: Europe Focused (for distribution and potentially raw material sourcing).</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Where co-products or multiple functions exist, allocation is performed based on physical parameters (e.g., mass) or economic value as appropriate, adhering to GHG Protocol guidance. For this product, direct attribution of materials and energy to the functional unit is possible, minimizing the need for complex allocation. For end-of-life, the "avoided burden" approach is used to credit recycling activities.</w:t>
      </w:r>
    </w:p>
    <w:p>
      <w:r>
        <w:pict>
          <v:rect style="width:0;height:1.5pt" o:hralign="center" o:hrstd="t" o:hr="t"/>
        </w:pict>
      </w:r>
    </w:p>
    <w:bookmarkEnd w:id="26"/>
    <w:bookmarkStart w:id="29" w:name="map-lifecycle-lci-inventory-stages"/>
    <w:p>
      <w:pPr>
        <w:pStyle w:val="Heading2"/>
      </w:pPr>
      <w:r>
        <w:t xml:space="preserve">2. Map Lifecycle (LCI Inventory Stages)</w:t>
      </w:r>
    </w:p>
    <w:p>
      <w:pPr>
        <w:pStyle w:val="FirstParagraph"/>
      </w:pPr>
      <w:r>
        <w:t xml:space="preserve">The lifecycle of nyskkedjjy is mapped across key stages, from raw material acquisition to end-of-life. A detailed breakdown of materials and energy inputs forms the basis of the Life Cycle Inventory (LCI).</w:t>
      </w:r>
    </w:p>
    <w:bookmarkStart w:id="27" w:name="X87bf80809f537d5ae543144679e28848228bbdb"/>
    <w:p>
      <w:pPr>
        <w:pStyle w:val="Heading3"/>
      </w:pPr>
      <w:r>
        <w:t xml:space="preserve">Detailed Bill of Materials (BOM) for nyskkedjjy</w:t>
      </w:r>
    </w:p>
    <w:p>
      <w:pPr>
        <w:pStyle w:val="FirstParagraph"/>
      </w:pPr>
      <w:r>
        <w:t xml:space="preserve">The following table presents the detailed Bill of Materials (BOM) for one functional unit of nyskkedjjy, including pre-calculated total carbon emissions for each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gridSpan w:val="4"/>
          </w:tcPr>
          <w:p>
            <w:pPr>
              <w:pStyle w:val="Compact"/>
              <w:jc w:val="right"/>
            </w:pPr>
            <w:r>
              <w:t xml:space="preserve">Total Product Weight:</w:t>
            </w:r>
          </w:p>
        </w:tc>
        <w:tc>
          <w:tcPr/>
          <w:p>
            <w:pPr>
              <w:pStyle w:val="Compact"/>
              <w:jc w:val="left"/>
            </w:pPr>
            <w:r>
              <w:t xml:space="preserve">0.95 kg</w:t>
            </w:r>
          </w:p>
        </w:tc>
        <w:tc>
          <w:tcPr>
            <w:gridSpan w:val="2"/>
          </w:tcPr>
          <w:p>
            <w:pPr>
              <w:pStyle w:val="Compact"/>
            </w:pPr>
          </w:p>
        </w:tc>
        <w:tc>
          <w:tcPr/>
          <w:p>
            <w:pPr>
              <w:pStyle w:val="Compact"/>
              <w:jc w:val="left"/>
            </w:pPr>
            <w:r>
              <w:t xml:space="preserve">9.3 kg CO2e</w:t>
            </w:r>
          </w:p>
        </w:tc>
      </w:tr>
    </w:tbl>
    <w:bookmarkEnd w:id="27"/>
    <w:bookmarkStart w:id="28" w:name="energy-inputs-for-production"/>
    <w:p>
      <w:pPr>
        <w:pStyle w:val="Heading3"/>
      </w:pPr>
      <w:r>
        <w:t xml:space="preserve">Energy Inputs for Production</w:t>
      </w:r>
    </w:p>
    <w:p>
      <w:pPr>
        <w:pStyle w:val="FirstParagraph"/>
      </w:pPr>
      <w:r>
        <w:t xml:space="preserve">The production phase of nyskkedjjy requires electrical energy. The energy intensity for manufacturing one unit is provided, along with the renewable energy usage at the production facility.</w:t>
      </w:r>
    </w:p>
    <w:p>
      <w:pPr>
        <w:numPr>
          <w:ilvl w:val="0"/>
          <w:numId w:val="1003"/>
        </w:numPr>
        <w:pStyle w:val="Compact"/>
      </w:pPr>
      <w:r>
        <w:rPr>
          <w:bCs/>
          <w:b/>
        </w:rPr>
        <w:t xml:space="preserve">Energy Intensity (kWh/unit):</w:t>
      </w:r>
      <w:r>
        <w:t xml:space="preserve"> </w:t>
      </w:r>
      <w:r>
        <w:t xml:space="preserve">10 kWh/unit (for parameter `zrxqeqjwnf`)</w:t>
      </w:r>
    </w:p>
    <w:p>
      <w:pPr>
        <w:numPr>
          <w:ilvl w:val="0"/>
          <w:numId w:val="1003"/>
        </w:numPr>
        <w:pStyle w:val="Compact"/>
      </w:pPr>
      <w:r>
        <w:rPr>
          <w:bCs/>
          <w:b/>
        </w:rPr>
        <w:t xml:space="preserve">Renewable Energy Usage:</w:t>
      </w:r>
      <w:r>
        <w:t xml:space="preserve"> </w:t>
      </w:r>
      <w:r>
        <w:t xml:space="preserve">30% (for parameter `ypphtmxigl`)</w:t>
      </w:r>
    </w:p>
    <w:p>
      <w:r>
        <w:pict>
          <v:rect style="width:0;height:1.5pt" o:hralign="center" o:hrstd="t" o:hr="t"/>
        </w:pict>
      </w:r>
    </w:p>
    <w:bookmarkEnd w:id="28"/>
    <w:bookmarkEnd w:id="29"/>
    <w:bookmarkStart w:id="30" w:name="collect-data"/>
    <w:p>
      <w:pPr>
        <w:pStyle w:val="Heading2"/>
      </w:pPr>
      <w:r>
        <w:t xml:space="preserve">3. Collect Data</w:t>
      </w:r>
    </w:p>
    <w:p>
      <w:pPr>
        <w:pStyle w:val="FirstParagraph"/>
      </w:pPr>
      <w:r>
        <w:t xml:space="preserve">Data collection for this PCF analysis involved leveraging primary data where available and supplementing with robust secondary data (industry-average emission factors) from recognized databases like Ecoinvent and DEFRA. The following specific data points were incorporated:</w:t>
      </w:r>
    </w:p>
    <w:p>
      <w:pPr>
        <w:numPr>
          <w:ilvl w:val="0"/>
          <w:numId w:val="1004"/>
        </w:numPr>
        <w:pStyle w:val="Compact"/>
      </w:pPr>
      <w:r>
        <w:rPr>
          <w:bCs/>
          <w:b/>
        </w:rPr>
        <w:t xml:space="preserve">Detailed Bill of Materials (BOM):</w:t>
      </w:r>
      <w:r>
        <w:t xml:space="preserve"> </w:t>
      </w:r>
      <w:r>
        <w:t xml:space="preserve">The comprehensive BOM (`nwortdxu`) outlined in Section 2, with pre-calculated total carbon emissions, served as the primary data for material impact.</w:t>
      </w:r>
    </w:p>
    <w:p>
      <w:pPr>
        <w:numPr>
          <w:ilvl w:val="0"/>
          <w:numId w:val="1004"/>
        </w:numPr>
        <w:pStyle w:val="Compact"/>
      </w:pPr>
      <w:r>
        <w:rPr>
          <w:bCs/>
          <w:b/>
        </w:rPr>
        <w:t xml:space="preserve">Transport Data:</w:t>
      </w:r>
    </w:p>
    <w:p>
      <w:pPr>
        <w:numPr>
          <w:ilvl w:val="1"/>
          <w:numId w:val="1005"/>
        </w:numPr>
        <w:pStyle w:val="Compact"/>
      </w:pPr>
      <w:r>
        <w:rPr>
          <w:bCs/>
          <w:b/>
        </w:rPr>
        <w:t xml:space="preserve">Transport Mode (Primary):</w:t>
      </w:r>
      <w:r>
        <w:t xml:space="preserve"> </w:t>
      </w:r>
      <w:r>
        <w:t xml:space="preserve">Ocean Freight (assumed for China to Europe route).</w:t>
      </w:r>
    </w:p>
    <w:p>
      <w:pPr>
        <w:numPr>
          <w:ilvl w:val="1"/>
          <w:numId w:val="1005"/>
        </w:numPr>
        <w:pStyle w:val="Compact"/>
      </w:pPr>
      <w:r>
        <w:rPr>
          <w:bCs/>
          <w:b/>
        </w:rPr>
        <w:t xml:space="preserve">Transport Distance (Primary):</w:t>
      </w:r>
      <w:r>
        <w:t xml:space="preserve"> </w:t>
      </w:r>
      <w:r>
        <w:t xml:space="preserve">15,000 km (illustrative value for `spposvgqsz`).</w:t>
      </w:r>
    </w:p>
    <w:p>
      <w:pPr>
        <w:numPr>
          <w:ilvl w:val="1"/>
          <w:numId w:val="1005"/>
        </w:numPr>
        <w:pStyle w:val="Compact"/>
      </w:pPr>
      <w:r>
        <w:rPr>
          <w:bCs/>
          <w:b/>
        </w:rPr>
        <w:t xml:space="preserve">Last-Mile Delivery Channel:</w:t>
      </w:r>
      <w:r>
        <w:t xml:space="preserve"> </w:t>
      </w:r>
      <w:r>
        <w:t xml:space="preserve">Road Freight (e.g., Light Commercial Vehicle) (illustrative for `Delivery Type`).</w:t>
      </w:r>
    </w:p>
    <w:p>
      <w:pPr>
        <w:numPr>
          <w:ilvl w:val="1"/>
          <w:numId w:val="1005"/>
        </w:numPr>
        <w:pStyle w:val="Compact"/>
      </w:pPr>
      <w:r>
        <w:rPr>
          <w:bCs/>
          <w:b/>
        </w:rPr>
        <w:t xml:space="preserve">Transport Distance (Last-Mile):</w:t>
      </w:r>
      <w:r>
        <w:t xml:space="preserve"> </w:t>
      </w:r>
      <w:r>
        <w:t xml:space="preserve">500 km (illustrative value for `spposvgqsz`).</w:t>
      </w:r>
    </w:p>
    <w:p>
      <w:pPr>
        <w:numPr>
          <w:ilvl w:val="0"/>
          <w:numId w:val="1004"/>
        </w:numPr>
        <w:pStyle w:val="Compact"/>
      </w:pPr>
      <w:r>
        <w:rPr>
          <w:bCs/>
          <w:b/>
        </w:rPr>
        <w:t xml:space="preserve">Energy Customization Data (Production Phase):</w:t>
      </w:r>
    </w:p>
    <w:p>
      <w:pPr>
        <w:numPr>
          <w:ilvl w:val="1"/>
          <w:numId w:val="1006"/>
        </w:numPr>
        <w:pStyle w:val="Compact"/>
      </w:pPr>
      <w:r>
        <w:rPr>
          <w:bCs/>
          <w:b/>
        </w:rPr>
        <w:t xml:space="preserve">Renewable Energy Usage:</w:t>
      </w:r>
      <w:r>
        <w:t xml:space="preserve"> </w:t>
      </w:r>
      <w:r>
        <w:t xml:space="preserve">30% (illustrative value for `ypphtmxigl`).</w:t>
      </w:r>
    </w:p>
    <w:p>
      <w:pPr>
        <w:numPr>
          <w:ilvl w:val="1"/>
          <w:numId w:val="1006"/>
        </w:numPr>
        <w:pStyle w:val="Compact"/>
      </w:pPr>
      <w:r>
        <w:rPr>
          <w:bCs/>
          <w:b/>
        </w:rPr>
        <w:t xml:space="preserve">Energy Intensity (kWh/unit):</w:t>
      </w:r>
      <w:r>
        <w:t xml:space="preserve"> </w:t>
      </w:r>
      <w:r>
        <w:t xml:space="preserve">10 kWh/unit (illustrative value for `zrxqeqjwnf`).</w:t>
      </w:r>
    </w:p>
    <w:p>
      <w:pPr>
        <w:numPr>
          <w:ilvl w:val="1"/>
          <w:numId w:val="1006"/>
        </w:numPr>
        <w:pStyle w:val="Compact"/>
      </w:pPr>
      <w:r>
        <w:rPr>
          <w:bCs/>
          <w:b/>
        </w:rPr>
        <w:t xml:space="preserve">Electricity Grid Emission Factor (China):</w:t>
      </w:r>
      <w:r>
        <w:t xml:space="preserve"> </w:t>
      </w:r>
      <w:r>
        <w:t xml:space="preserve">0.6205 kg CO2e/kWh (2023 National Average).</w:t>
      </w:r>
    </w:p>
    <w:p>
      <w:pPr>
        <w:numPr>
          <w:ilvl w:val="0"/>
          <w:numId w:val="1004"/>
        </w:numPr>
        <w:pStyle w:val="Compact"/>
      </w:pPr>
      <w:r>
        <w:rPr>
          <w:bCs/>
          <w:b/>
        </w:rPr>
        <w:t xml:space="preserve">Use Phase Data:</w:t>
      </w:r>
    </w:p>
    <w:p>
      <w:pPr>
        <w:numPr>
          <w:ilvl w:val="1"/>
          <w:numId w:val="1007"/>
        </w:numPr>
        <w:pStyle w:val="Compact"/>
      </w:pPr>
      <w:r>
        <w:rPr>
          <w:bCs/>
          <w:b/>
        </w:rPr>
        <w:t xml:space="preserve">Product Lifespan:</w:t>
      </w:r>
      <w:r>
        <w:t xml:space="preserve"> </w:t>
      </w:r>
      <w:r>
        <w:t xml:space="preserve">5 years (illustrative value for `rvnyojiflj`).</w:t>
      </w:r>
    </w:p>
    <w:p>
      <w:pPr>
        <w:numPr>
          <w:ilvl w:val="1"/>
          <w:numId w:val="1007"/>
        </w:numPr>
        <w:pStyle w:val="Compact"/>
      </w:pPr>
      <w:r>
        <w:rPr>
          <w:bCs/>
          <w:b/>
        </w:rPr>
        <w:t xml:space="preserve">Energy Consumption in Use:</w:t>
      </w:r>
      <w:r>
        <w:t xml:space="preserve"> </w:t>
      </w:r>
      <w:r>
        <w:t xml:space="preserve">20 kWh/year (illustrative value for `gshjgnswyw`).</w:t>
      </w:r>
    </w:p>
    <w:p>
      <w:pPr>
        <w:numPr>
          <w:ilvl w:val="1"/>
          <w:numId w:val="1007"/>
        </w:numPr>
        <w:pStyle w:val="Compact"/>
      </w:pPr>
      <w:r>
        <w:rPr>
          <w:bCs/>
          <w:b/>
        </w:rPr>
        <w:t xml:space="preserve">Electricity Grid Emission Factor (Global Average):</w:t>
      </w:r>
      <w:r>
        <w:t xml:space="preserve"> </w:t>
      </w:r>
      <w:r>
        <w:t xml:space="preserve">0.400 kg CO2e/kWh (IEA forecast for 2027).</w:t>
      </w:r>
    </w:p>
    <w:p>
      <w:pPr>
        <w:numPr>
          <w:ilvl w:val="0"/>
          <w:numId w:val="1004"/>
        </w:numPr>
        <w:pStyle w:val="Compact"/>
      </w:pPr>
      <w:r>
        <w:rPr>
          <w:bCs/>
          <w:b/>
        </w:rPr>
        <w:t xml:space="preserve">End-of-Life (EoL) Scenarios:</w:t>
      </w:r>
    </w:p>
    <w:p>
      <w:pPr>
        <w:numPr>
          <w:ilvl w:val="1"/>
          <w:numId w:val="1008"/>
        </w:numPr>
        <w:pStyle w:val="Compact"/>
      </w:pPr>
      <w:r>
        <w:rPr>
          <w:bCs/>
          <w:b/>
        </w:rPr>
        <w:t xml:space="preserve">Recyclability Percentage:</w:t>
      </w:r>
      <w:r>
        <w:t xml:space="preserve"> </w:t>
      </w:r>
      <w:r>
        <w:t xml:space="preserve">60% (illustrative value for `pfloyeduuo`).</w:t>
      </w:r>
    </w:p>
    <w:p>
      <w:pPr>
        <w:numPr>
          <w:ilvl w:val="1"/>
          <w:numId w:val="1008"/>
        </w:numPr>
        <w:pStyle w:val="Compact"/>
      </w:pPr>
      <w:r>
        <w:rPr>
          <w:bCs/>
          <w:b/>
        </w:rPr>
        <w:t xml:space="preserve">Circular/Take-back Programs:</w:t>
      </w:r>
      <w:r>
        <w:t xml:space="preserve"> </w:t>
      </w:r>
      <w:r>
        <w:t xml:space="preserve">Existence acknowledged for `rpdprvswgf`, supporting circular economy impacts.</w:t>
      </w:r>
    </w:p>
    <w:p>
      <w:pPr>
        <w:numPr>
          <w:ilvl w:val="1"/>
          <w:numId w:val="1008"/>
        </w:numPr>
        <w:pStyle w:val="Compact"/>
      </w:pPr>
      <w:r>
        <w:rPr>
          <w:bCs/>
          <w:b/>
        </w:rPr>
        <w:t xml:space="preserve">Emission Factor for Ocean Freight:</w:t>
      </w:r>
      <w:r>
        <w:t xml:space="preserve"> </w:t>
      </w:r>
      <w:r>
        <w:t xml:space="preserve">0.016 kg CO2e/tonne-km.</w:t>
      </w:r>
    </w:p>
    <w:p>
      <w:pPr>
        <w:numPr>
          <w:ilvl w:val="1"/>
          <w:numId w:val="1008"/>
        </w:numPr>
        <w:pStyle w:val="Compact"/>
      </w:pPr>
      <w:r>
        <w:rPr>
          <w:bCs/>
          <w:b/>
        </w:rPr>
        <w:t xml:space="preserve">Emission Factor for Road Freight (Last-Mile):</w:t>
      </w:r>
      <w:r>
        <w:t xml:space="preserve"> </w:t>
      </w:r>
      <w:r>
        <w:t xml:space="preserve">0.069 kg CO2e/tonne-km.</w:t>
      </w:r>
    </w:p>
    <w:p>
      <w:pPr>
        <w:numPr>
          <w:ilvl w:val="1"/>
          <w:numId w:val="1008"/>
        </w:numPr>
        <w:pStyle w:val="Compact"/>
      </w:pPr>
      <w:r>
        <w:rPr>
          <w:bCs/>
          <w:b/>
        </w:rPr>
        <w:t xml:space="preserve">Emission Factor for Plastic Incineration:</w:t>
      </w:r>
      <w:r>
        <w:t xml:space="preserve"> </w:t>
      </w:r>
      <w:r>
        <w:t xml:space="preserve">2.7625 kg CO2e/kg.</w:t>
      </w:r>
    </w:p>
    <w:p>
      <w:pPr>
        <w:numPr>
          <w:ilvl w:val="1"/>
          <w:numId w:val="1008"/>
        </w:numPr>
        <w:pStyle w:val="Compact"/>
      </w:pPr>
      <w:r>
        <w:rPr>
          <w:bCs/>
          <w:b/>
        </w:rPr>
        <w:t xml:space="preserve">Emission Factor for Mixed Waste Landfill:</w:t>
      </w:r>
      <w:r>
        <w:t xml:space="preserve"> </w:t>
      </w:r>
      <w:r>
        <w:t xml:space="preserve">0.7495 kg CO2e/kg.</w:t>
      </w:r>
    </w:p>
    <w:p>
      <w:pPr>
        <w:numPr>
          <w:ilvl w:val="1"/>
          <w:numId w:val="1008"/>
        </w:numPr>
        <w:pStyle w:val="Compact"/>
      </w:pPr>
      <w:r>
        <w:rPr>
          <w:bCs/>
          <w:b/>
        </w:rPr>
        <w:t xml:space="preserve">Avoided Emissions Credit for Recycled Aluminum:</w:t>
      </w:r>
      <w:r>
        <w:t xml:space="preserve"> </w:t>
      </w:r>
      <w:r>
        <w:t xml:space="preserve">-12.9 kg CO2e/kg.</w:t>
      </w:r>
    </w:p>
    <w:p>
      <w:pPr>
        <w:numPr>
          <w:ilvl w:val="1"/>
          <w:numId w:val="1008"/>
        </w:numPr>
        <w:pStyle w:val="Compact"/>
      </w:pPr>
      <w:r>
        <w:rPr>
          <w:bCs/>
          <w:b/>
        </w:rPr>
        <w:t xml:space="preserve">Avoided Emissions Credit for Recycled ABS Plastic:</w:t>
      </w:r>
      <w:r>
        <w:t xml:space="preserve"> </w:t>
      </w:r>
      <w:r>
        <w:t xml:space="preserve">-2.51 kg CO2e/kg.</w:t>
      </w:r>
    </w:p>
    <w:p>
      <w:pPr>
        <w:numPr>
          <w:ilvl w:val="1"/>
          <w:numId w:val="1008"/>
        </w:numPr>
        <w:pStyle w:val="Compact"/>
      </w:pPr>
      <w:r>
        <w:rPr>
          <w:bCs/>
          <w:b/>
        </w:rPr>
        <w:t xml:space="preserve">Assumed Avoided Emissions Credit for Recycled Copper:</w:t>
      </w:r>
      <w:r>
        <w:t xml:space="preserve"> </w:t>
      </w:r>
      <w:r>
        <w:t xml:space="preserve">-5 kg CO2e/kg (illustrative).</w:t>
      </w:r>
    </w:p>
    <w:p>
      <w:pPr>
        <w:numPr>
          <w:ilvl w:val="1"/>
          <w:numId w:val="1008"/>
        </w:numPr>
        <w:pStyle w:val="Compact"/>
      </w:pPr>
      <w:r>
        <w:rPr>
          <w:bCs/>
          <w:b/>
        </w:rPr>
        <w:t xml:space="preserve">Assumed Avoided Emissions Credit for Recycled Electronic Components:</w:t>
      </w:r>
      <w:r>
        <w:t xml:space="preserve"> </w:t>
      </w:r>
      <w:r>
        <w:t xml:space="preserve">-10 kg CO2e/kg (illustrative).</w:t>
      </w:r>
    </w:p>
    <w:p>
      <w:pPr>
        <w:numPr>
          <w:ilvl w:val="1"/>
          <w:numId w:val="1008"/>
        </w:numPr>
        <w:pStyle w:val="Compact"/>
      </w:pPr>
      <w:r>
        <w:rPr>
          <w:bCs/>
          <w:b/>
        </w:rPr>
        <w:t xml:space="preserve">Assumed Disposal Factor for Landfilled Metals:</w:t>
      </w:r>
      <w:r>
        <w:t xml:space="preserve"> </w:t>
      </w:r>
      <w:r>
        <w:t xml:space="preserve">0.5 kg CO2e/kg (illustrative).</w:t>
      </w:r>
    </w:p>
    <w:p>
      <w:r>
        <w:pict>
          <v:rect style="width:0;height:1.5pt" o:hralign="center" o:hrstd="t" o:hr="t"/>
        </w:pict>
      </w:r>
    </w:p>
    <w:bookmarkEnd w:id="30"/>
    <w:bookmarkStart w:id="33" w:name="calculate-emissions"/>
    <w:p>
      <w:pPr>
        <w:pStyle w:val="Heading2"/>
      </w:pPr>
      <w:r>
        <w:t xml:space="preserve">4. Calculate Emissions</w:t>
      </w:r>
    </w:p>
    <w:p>
      <w:pPr>
        <w:pStyle w:val="FirstParagraph"/>
      </w:pPr>
      <w:r>
        <w:t xml:space="preserve">Emissions were calculated for each lifecycle stage by multiplying activity data (e.g., material quantity, energy consumption, transport distance-weight) by the relevant emission factors. The results are categorized according to the GHG Protocol scopes.</w:t>
      </w:r>
    </w:p>
    <w:bookmarkStart w:id="31" w:name="X04c1fb5fb97153e0a9e7645531e85264b697ddf"/>
    <w:p>
      <w:pPr>
        <w:pStyle w:val="Heading3"/>
      </w:pPr>
      <w:r>
        <w:t xml:space="preserve">Emission Calculation Summary by Lifecycle Stage and GHG Scope</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 CO2e)</w:t>
            </w:r>
          </w:p>
        </w:tc>
      </w:tr>
      <w:tr>
        <w:tc>
          <w:tcPr/>
          <w:p>
            <w:pPr>
              <w:pStyle w:val="Compact"/>
              <w:jc w:val="left"/>
            </w:pPr>
            <w:r>
              <w:rPr>
                <w:bCs/>
                <w:b/>
              </w:rPr>
              <w:t xml:space="preserve">Materials Acquisition &amp; Processing</w:t>
            </w:r>
          </w:p>
        </w:tc>
        <w:tc>
          <w:tcPr/>
          <w:p>
            <w:pPr>
              <w:pStyle w:val="Compact"/>
              <w:jc w:val="left"/>
            </w:pPr>
            <w:r>
              <w:t xml:space="preserve">Scope 3 (Upstream)</w:t>
            </w:r>
          </w:p>
        </w:tc>
        <w:tc>
          <w:tcPr/>
          <w:p>
            <w:pPr>
              <w:pStyle w:val="Compact"/>
              <w:jc w:val="left"/>
            </w:pPr>
            <w:r>
              <w:t xml:space="preserve">Sum of \'Total Carbon\' from Detailed BOM (nwortdxu)</w:t>
            </w:r>
          </w:p>
        </w:tc>
        <w:tc>
          <w:tcPr/>
          <w:p>
            <w:pPr>
              <w:pStyle w:val="Compact"/>
              <w:jc w:val="left"/>
            </w:pPr>
            <w:r>
              <w:t xml:space="preserve">9.3000</w:t>
            </w:r>
          </w:p>
        </w:tc>
      </w:tr>
      <w:tr>
        <w:tc>
          <w:tcPr/>
          <w:p>
            <w:pPr>
              <w:pStyle w:val="Compact"/>
              <w:jc w:val="left"/>
            </w:pPr>
            <w:r>
              <w:rPr>
                <w:bCs/>
                <w:b/>
              </w:rPr>
              <w:t xml:space="preserve">Product Manufacturing</w:t>
            </w:r>
          </w:p>
        </w:tc>
        <w:tc>
          <w:tcPr/>
          <w:p>
            <w:pPr>
              <w:pStyle w:val="Compact"/>
              <w:jc w:val="left"/>
            </w:pPr>
            <w:r>
              <w:t xml:space="preserve">Scope 2 (Purchased Electricity)</w:t>
            </w:r>
          </w:p>
        </w:tc>
        <w:tc>
          <w:tcPr/>
          <w:p>
            <w:pPr>
              <w:pStyle w:val="Compact"/>
              <w:jc w:val="left"/>
            </w:pPr>
            <w:r>
              <w:t xml:space="preserve">(10 kWh/unit * (1 - 30% Renewable Usage)) * 0.6205 kg CO2e/kWh (China Grid EF)</w:t>
            </w:r>
          </w:p>
        </w:tc>
        <w:tc>
          <w:tcPr/>
          <w:p>
            <w:pPr>
              <w:pStyle w:val="Compact"/>
              <w:jc w:val="left"/>
            </w:pPr>
            <w:r>
              <w:t xml:space="preserve">4.3435</w:t>
            </w:r>
          </w:p>
        </w:tc>
      </w:tr>
      <w:tr>
        <w:tc>
          <w:tcPr/>
          <w:p>
            <w:pPr>
              <w:pStyle w:val="Compact"/>
              <w:jc w:val="left"/>
            </w:pPr>
            <w:r>
              <w:rPr>
                <w:bCs/>
                <w:b/>
              </w:rPr>
              <w:t xml:space="preserve">Transportation (Upstream)</w:t>
            </w:r>
          </w:p>
        </w:tc>
        <w:tc>
          <w:tcPr/>
          <w:p>
            <w:pPr>
              <w:pStyle w:val="Compact"/>
              <w:jc w:val="left"/>
            </w:pPr>
            <w:r>
              <w:t xml:space="preserve">Scope 3 (Upstream)</w:t>
            </w:r>
          </w:p>
        </w:tc>
        <w:tc>
          <w:tcPr/>
          <w:p>
            <w:pPr>
              <w:pStyle w:val="Compact"/>
              <w:jc w:val="left"/>
            </w:pPr>
            <w:r>
              <w:t xml:space="preserve">0.95 kg (Product Weight) * 15,000 km (Ocean) * 0.000016 kg CO2e/kg-km (Ocean Freight EF)</w:t>
            </w:r>
          </w:p>
        </w:tc>
        <w:tc>
          <w:tcPr/>
          <w:p>
            <w:pPr>
              <w:pStyle w:val="Compact"/>
              <w:jc w:val="left"/>
            </w:pPr>
            <w:r>
              <w:t xml:space="preserve">0.2280</w:t>
            </w:r>
          </w:p>
        </w:tc>
      </w:tr>
      <w:tr>
        <w:tc>
          <w:tcPr/>
          <w:p>
            <w:pPr>
              <w:pStyle w:val="Compact"/>
              <w:jc w:val="left"/>
            </w:pPr>
            <w:r>
              <w:rPr>
                <w:bCs/>
                <w:b/>
              </w:rPr>
              <w:t xml:space="preserve">Transportation (Downstream - Last Mile)</w:t>
            </w:r>
          </w:p>
        </w:tc>
        <w:tc>
          <w:tcPr/>
          <w:p>
            <w:pPr>
              <w:pStyle w:val="Compact"/>
              <w:jc w:val="left"/>
            </w:pPr>
            <w:r>
              <w:t xml:space="preserve">Scope 3 (Downstream)</w:t>
            </w:r>
          </w:p>
        </w:tc>
        <w:tc>
          <w:tcPr/>
          <w:p>
            <w:pPr>
              <w:pStyle w:val="Compact"/>
              <w:jc w:val="left"/>
            </w:pPr>
            <w:r>
              <w:t xml:space="preserve">0.95 kg (Product Weight) * 500 km (Road) * 0.000069 kg CO2e/kg-km (Road Freight EF)</w:t>
            </w:r>
          </w:p>
        </w:tc>
        <w:tc>
          <w:tcPr/>
          <w:p>
            <w:pPr>
              <w:pStyle w:val="Compact"/>
              <w:jc w:val="left"/>
            </w:pPr>
            <w:r>
              <w:t xml:space="preserve">0.0328</w:t>
            </w:r>
          </w:p>
        </w:tc>
      </w:tr>
      <w:tr>
        <w:tc>
          <w:tcPr/>
          <w:p>
            <w:pPr>
              <w:pStyle w:val="Compact"/>
              <w:jc w:val="left"/>
            </w:pPr>
            <w:r>
              <w:rPr>
                <w:bCs/>
                <w:b/>
              </w:rPr>
              <w:t xml:space="preserve">Product Use Phase</w:t>
            </w:r>
          </w:p>
        </w:tc>
        <w:tc>
          <w:tcPr/>
          <w:p>
            <w:pPr>
              <w:pStyle w:val="Compact"/>
              <w:jc w:val="left"/>
            </w:pPr>
            <w:r>
              <w:t xml:space="preserve">Scope 3 (Downstream)</w:t>
            </w:r>
          </w:p>
        </w:tc>
        <w:tc>
          <w:tcPr/>
          <w:p>
            <w:pPr>
              <w:pStyle w:val="Compact"/>
              <w:jc w:val="left"/>
            </w:pPr>
            <w:r>
              <w:t xml:space="preserve">(20 kWh/year * 5 years Lifespan) * 0.400 kg CO2e/kWh (Global Average EF)</w:t>
            </w:r>
          </w:p>
        </w:tc>
        <w:tc>
          <w:tcPr/>
          <w:p>
            <w:pPr>
              <w:pStyle w:val="Compact"/>
              <w:jc w:val="left"/>
            </w:pPr>
            <w:r>
              <w:t xml:space="preserve">40.0000</w:t>
            </w:r>
          </w:p>
        </w:tc>
      </w:tr>
      <w:tr>
        <w:tc>
          <w:tcPr/>
          <w:p>
            <w:pPr>
              <w:pStyle w:val="Compact"/>
              <w:jc w:val="left"/>
            </w:pPr>
            <w:r>
              <w:rPr>
                <w:bCs/>
                <w:b/>
              </w:rPr>
              <w:t xml:space="preserve">End-of-Life (EoL)</w:t>
            </w:r>
          </w:p>
        </w:tc>
        <w:tc>
          <w:tcPr/>
          <w:p>
            <w:pPr>
              <w:pStyle w:val="Compact"/>
              <w:jc w:val="left"/>
            </w:pPr>
            <w:r>
              <w:t xml:space="preserve">Scope 3 (Downstream)</w:t>
            </w:r>
          </w:p>
        </w:tc>
        <w:tc>
          <w:tcPr/>
          <w:p>
            <w:pPr>
              <w:pStyle w:val="Compact"/>
              <w:jc w:val="left"/>
            </w:pPr>
            <w:r>
              <w:t xml:space="preserve">Net of Disposal Emissions and Recycling Credits:</w:t>
            </w:r>
          </w:p>
          <w:p>
            <w:pPr>
              <w:numPr>
                <w:ilvl w:val="0"/>
                <w:numId w:val="1009"/>
              </w:numPr>
              <w:pStyle w:val="Compact"/>
              <w:jc w:val="left"/>
            </w:pPr>
            <w:r>
              <w:t xml:space="preserve">Disposal Emissions: 0.4665 kg CO2e (for 0.38 kg disposed material)</w:t>
            </w:r>
          </w:p>
          <w:p>
            <w:pPr>
              <w:numPr>
                <w:ilvl w:val="0"/>
                <w:numId w:val="1009"/>
              </w:numPr>
              <w:pStyle w:val="Compact"/>
              <w:jc w:val="left"/>
            </w:pPr>
            <w:r>
              <w:t xml:space="preserve">Recycling Credits: -4.9218 kg CO2e (for 0.57 kg recycled material)</w:t>
            </w:r>
          </w:p>
        </w:tc>
        <w:tc>
          <w:tcPr/>
          <w:p>
            <w:pPr>
              <w:pStyle w:val="Compact"/>
              <w:jc w:val="left"/>
            </w:pPr>
            <w:r>
              <w:t xml:space="preserve">-4.4553</w:t>
            </w:r>
          </w:p>
        </w:tc>
      </w:tr>
      <w:tr>
        <w:tc>
          <w:tcPr>
            <w:gridSpan w:val="3"/>
          </w:tcPr>
          <w:p>
            <w:pPr>
              <w:pStyle w:val="Compact"/>
              <w:jc w:val="right"/>
            </w:pPr>
            <w:r>
              <w:t xml:space="preserve">Total Product Carbon Footprint (PCF):</w:t>
            </w:r>
          </w:p>
        </w:tc>
        <w:tc>
          <w:tcPr/>
          <w:p>
            <w:pPr>
              <w:pStyle w:val="Compact"/>
              <w:jc w:val="left"/>
            </w:pPr>
            <w:r>
              <w:t xml:space="preserve">49.4490 kg CO2e</w:t>
            </w:r>
          </w:p>
        </w:tc>
      </w:tr>
    </w:tbl>
    <w:bookmarkEnd w:id="31"/>
    <w:bookmarkStart w:id="32" w:name="Xdbed9e72c384daf4ae0f5f5124d9a9a8d8e11aa"/>
    <w:p>
      <w:pPr>
        <w:pStyle w:val="Heading3"/>
      </w:pPr>
      <w:r>
        <w:t xml:space="preserve">Total Product Carbon Footprint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0.0000</w:t>
            </w:r>
          </w:p>
        </w:tc>
        <w:tc>
          <w:tcPr/>
          <w:p>
            <w:pPr>
              <w:pStyle w:val="Compact"/>
              <w:jc w:val="left"/>
            </w:pPr>
            <w:r>
              <w:t xml:space="preserve">0.00%</w:t>
            </w:r>
          </w:p>
        </w:tc>
      </w:tr>
      <w:tr>
        <w:tc>
          <w:tcPr/>
          <w:p>
            <w:pPr>
              <w:pStyle w:val="Compact"/>
              <w:jc w:val="left"/>
            </w:pPr>
            <w:r>
              <w:rPr>
                <w:bCs/>
                <w:b/>
              </w:rPr>
              <w:t xml:space="preserve">Scope 2 (Purchased Electricity)</w:t>
            </w:r>
          </w:p>
        </w:tc>
        <w:tc>
          <w:tcPr/>
          <w:p>
            <w:pPr>
              <w:pStyle w:val="Compact"/>
              <w:jc w:val="left"/>
            </w:pPr>
            <w:r>
              <w:t xml:space="preserve">4.3435</w:t>
            </w:r>
          </w:p>
        </w:tc>
        <w:tc>
          <w:tcPr/>
          <w:p>
            <w:pPr>
              <w:pStyle w:val="Compact"/>
              <w:jc w:val="left"/>
            </w:pPr>
            <w:r>
              <w:t xml:space="preserve">8.78%</w:t>
            </w:r>
          </w:p>
        </w:tc>
      </w:tr>
      <w:tr>
        <w:tc>
          <w:tcPr/>
          <w:p>
            <w:pPr>
              <w:pStyle w:val="Compact"/>
              <w:jc w:val="left"/>
            </w:pPr>
            <w:r>
              <w:rPr>
                <w:bCs/>
                <w:b/>
              </w:rPr>
              <w:t xml:space="preserve">Scope 3 (Value Chain Emissions)</w:t>
            </w:r>
          </w:p>
        </w:tc>
        <w:tc>
          <w:tcPr/>
          <w:p>
            <w:pPr>
              <w:pStyle w:val="Compact"/>
              <w:jc w:val="left"/>
            </w:pPr>
            <w:r>
              <w:t xml:space="preserve">45.1055</w:t>
            </w:r>
          </w:p>
        </w:tc>
        <w:tc>
          <w:tcPr/>
          <w:p>
            <w:pPr>
              <w:pStyle w:val="Compact"/>
              <w:jc w:val="left"/>
            </w:pPr>
            <w:r>
              <w:t xml:space="preserve">91.22%</w:t>
            </w:r>
          </w:p>
        </w:tc>
      </w:tr>
      <w:tr>
        <w:tc>
          <w:tcPr/>
          <w:p>
            <w:pPr>
              <w:pStyle w:val="Compact"/>
              <w:jc w:val="right"/>
            </w:pPr>
            <w:r>
              <w:t xml:space="preserve">Total PCF:</w:t>
            </w:r>
          </w:p>
        </w:tc>
        <w:tc>
          <w:tcPr/>
          <w:p>
            <w:pPr>
              <w:pStyle w:val="Compact"/>
              <w:jc w:val="left"/>
            </w:pPr>
            <w:r>
              <w:t xml:space="preserve">49.4490</w:t>
            </w:r>
          </w:p>
        </w:tc>
        <w:tc>
          <w:tcPr/>
          <w:p>
            <w:pPr>
              <w:pStyle w:val="Compact"/>
              <w:jc w:val="left"/>
            </w:pPr>
            <w:r>
              <w:t xml:space="preserve">100.00%</w:t>
            </w:r>
          </w:p>
        </w:tc>
      </w:tr>
    </w:tbl>
    <w:p>
      <w:pPr>
        <w:pStyle w:val="BodyText"/>
      </w:pPr>
      <w:r>
        <w:t xml:space="preserve">The total Product Carbon Footprint for one functional unit of nyskkedjjy is calculated to be</w:t>
      </w:r>
      <w:r>
        <w:t xml:space="preserve"> </w:t>
      </w:r>
      <w:r>
        <w:rPr>
          <w:bCs/>
          <w:b/>
        </w:rPr>
        <w:t xml:space="preserve">49.4490 kg CO2e</w:t>
      </w:r>
      <w:r>
        <w:t xml:space="preserve">.</w:t>
      </w:r>
    </w:p>
    <w:p>
      <w:r>
        <w:pict>
          <v:rect style="width:0;height:1.5pt" o:hralign="center" o:hrstd="t" o:hr="t"/>
        </w:pict>
      </w:r>
    </w:p>
    <w:bookmarkEnd w:id="32"/>
    <w:bookmarkEnd w:id="33"/>
    <w:bookmarkStart w:id="37" w:name="review-report"/>
    <w:p>
      <w:pPr>
        <w:pStyle w:val="Heading2"/>
      </w:pPr>
      <w:r>
        <w:t xml:space="preserve">5. Review &amp; Report</w:t>
      </w:r>
    </w:p>
    <w:bookmarkStart w:id="34" w:name="emission-hotspots"/>
    <w:p>
      <w:pPr>
        <w:pStyle w:val="Heading3"/>
      </w:pPr>
      <w:r>
        <w:t xml:space="preserve">Emission Hotspots</w:t>
      </w:r>
    </w:p>
    <w:p>
      <w:pPr>
        <w:pStyle w:val="FirstParagraph"/>
      </w:pPr>
      <w:r>
        <w:t xml:space="preserve">Based on the detailed analysis, the primary emission hotspots for nyskkedjjy are:</w:t>
      </w:r>
    </w:p>
    <w:p>
      <w:pPr>
        <w:numPr>
          <w:ilvl w:val="0"/>
          <w:numId w:val="1010"/>
        </w:numPr>
        <w:pStyle w:val="Compact"/>
      </w:pPr>
      <w:r>
        <w:rPr>
          <w:bCs/>
          <w:b/>
        </w:rPr>
        <w:t xml:space="preserve">Product Use Phase (40.0 kg CO2e):</w:t>
      </w:r>
      <w:r>
        <w:t xml:space="preserve"> </w:t>
      </w:r>
      <w:r>
        <w:t xml:space="preserve">This stage represents the largest contributor to the overall PCF, primarily due to the energy consumption of the product over its 5-year lifespan. This highlights the importance of improving energy efficiency during product operation.</w:t>
      </w:r>
    </w:p>
    <w:p>
      <w:pPr>
        <w:numPr>
          <w:ilvl w:val="0"/>
          <w:numId w:val="1010"/>
        </w:numPr>
        <w:pStyle w:val="Compact"/>
      </w:pPr>
      <w:r>
        <w:rPr>
          <w:bCs/>
          <w:b/>
        </w:rPr>
        <w:t xml:space="preserve">Materials Acquisition &amp; Processing (9.3 kg CO2e):</w:t>
      </w:r>
      <w:r>
        <w:t xml:space="preserve"> </w:t>
      </w:r>
      <w:r>
        <w:t xml:space="preserve">The upstream impacts of raw material extraction and manufacturing, particularly the Aluminum Casing and Electronic Components, are significant.</w:t>
      </w:r>
    </w:p>
    <w:p>
      <w:pPr>
        <w:numPr>
          <w:ilvl w:val="0"/>
          <w:numId w:val="1010"/>
        </w:numPr>
        <w:pStyle w:val="Compact"/>
      </w:pPr>
      <w:r>
        <w:rPr>
          <w:bCs/>
          <w:b/>
        </w:rPr>
        <w:t xml:space="preserve">Product Manufacturing (4.3435 kg CO2e):</w:t>
      </w:r>
      <w:r>
        <w:t xml:space="preserve"> </w:t>
      </w:r>
      <w:r>
        <w:t xml:space="preserve">Emissions from purchased electricity during production, despite 30% renewable energy usage, remain a notable contributor.</w:t>
      </w:r>
    </w:p>
    <w:bookmarkEnd w:id="34"/>
    <w:bookmarkStart w:id="35" w:name="reliability-and-limitations"/>
    <w:p>
      <w:pPr>
        <w:pStyle w:val="Heading3"/>
      </w:pPr>
      <w:r>
        <w:t xml:space="preserve">Reliability and Limitations</w:t>
      </w:r>
    </w:p>
    <w:p>
      <w:pPr>
        <w:pStyle w:val="FirstParagraph"/>
      </w:pPr>
      <w:r>
        <w:t xml:space="preserve">The reliability of this PCF is enhanced by the use of specific client-provided data for BOM, energy consumption, and end-of-life scenarios. Industry-standard emission factors from reputable sources (e.g., DEFRA, IEA, GLEC) have been applied for generic processes where primary data was unavailable.</w:t>
      </w:r>
    </w:p>
    <w:p>
      <w:pPr>
        <w:pStyle w:val="BodyText"/>
      </w:pPr>
      <w:r>
        <w:t xml:space="preserve">Limitations include the use of illustrative values for placeholder parameters such as specific transport distances, renewable energy usage percentage, product lifespan, and use-phase energy consumption. Furthermore, end-of-life calculations, particularly for avoided emissions from recycling, involve simplified assumptions based on available generic factors. A deeper dive into specific waste management infrastructure and regional recycling processes would refine these figures. The interpretation of "factory_gate" vs. "cradle-to-grave" was made to accommodate all provided parameters.</w:t>
      </w:r>
    </w:p>
    <w:bookmarkEnd w:id="35"/>
    <w:bookmarkStart w:id="36" w:name="recommendations-for-emission-reduction"/>
    <w:p>
      <w:pPr>
        <w:pStyle w:val="Heading3"/>
      </w:pPr>
      <w:r>
        <w:t xml:space="preserve">Recommendations for Emission Reduction</w:t>
      </w:r>
    </w:p>
    <w:p>
      <w:pPr>
        <w:numPr>
          <w:ilvl w:val="0"/>
          <w:numId w:val="1011"/>
        </w:numPr>
        <w:pStyle w:val="Compact"/>
      </w:pPr>
      <w:r>
        <w:rPr>
          <w:bCs/>
          <w:b/>
        </w:rPr>
        <w:t xml:space="preserve">Enhance Use Phase Efficiency:</w:t>
      </w:r>
      <w:r>
        <w:t xml:space="preserve"> </w:t>
      </w:r>
      <w:r>
        <w:t xml:space="preserve">Focus on product design for improved energy efficiency during the operational lifespan. This could involve using lower-power components or providing guidance to users for optimal, low-energy operation.</w:t>
      </w:r>
    </w:p>
    <w:p>
      <w:pPr>
        <w:numPr>
          <w:ilvl w:val="0"/>
          <w:numId w:val="1011"/>
        </w:numPr>
        <w:pStyle w:val="Compact"/>
      </w:pPr>
      <w:r>
        <w:rPr>
          <w:bCs/>
          <w:b/>
        </w:rPr>
        <w:t xml:space="preserve">Optimize Material Selection and Sourcing:</w:t>
      </w:r>
      <w:r>
        <w:t xml:space="preserve"> </w:t>
      </w:r>
      <w:r>
        <w:t xml:space="preserve">Investigate alternative, lower-carbon materials for the Aluminum Casing and Electronic Components. Work with suppliers to source materials with verified lower embodied carbon footprints.</w:t>
      </w:r>
    </w:p>
    <w:p>
      <w:pPr>
        <w:numPr>
          <w:ilvl w:val="0"/>
          <w:numId w:val="1011"/>
        </w:numPr>
        <w:pStyle w:val="Compact"/>
      </w:pPr>
      <w:r>
        <w:rPr>
          <w:bCs/>
          <w:b/>
        </w:rPr>
        <w:t xml:space="preserve">Increase Renewable Energy Adoption in Manufacturing:</w:t>
      </w:r>
      <w:r>
        <w:t xml:space="preserve"> </w:t>
      </w:r>
      <w:r>
        <w:t xml:space="preserve">Further increase the share of renewable energy used in the manufacturing facilities to reduce Scope 2 emissions. This could involve on-site generation or procurement of high-quality renewable energy credits/PPAs.</w:t>
      </w:r>
    </w:p>
    <w:p>
      <w:pPr>
        <w:numPr>
          <w:ilvl w:val="0"/>
          <w:numId w:val="1011"/>
        </w:numPr>
        <w:pStyle w:val="Compact"/>
      </w:pPr>
      <w:r>
        <w:rPr>
          <w:bCs/>
          <w:b/>
        </w:rPr>
        <w:t xml:space="preserve">Strengthen Circular Economy Initiatives:</w:t>
      </w:r>
      <w:r>
        <w:t xml:space="preserve"> </w:t>
      </w:r>
      <w:r>
        <w:t xml:space="preserve">Expand and promote circular/take-back programs (`rpdprvswgf`) beyond the current 60% recyclability target. Explore design-for-disassembly to improve actual recycling rates and material recovery efficiency.</w:t>
      </w:r>
    </w:p>
    <w:p>
      <w:pPr>
        <w:numPr>
          <w:ilvl w:val="0"/>
          <w:numId w:val="1011"/>
        </w:numPr>
        <w:pStyle w:val="Compact"/>
      </w:pPr>
      <w:r>
        <w:rPr>
          <w:bCs/>
          <w:b/>
        </w:rPr>
        <w:t xml:space="preserve">Supply Chain Engagement:</w:t>
      </w:r>
      <w:r>
        <w:t xml:space="preserve"> </w:t>
      </w:r>
      <w:r>
        <w:t xml:space="preserve">Collaborate with upstream suppliers to identify and reduce emissions associated with their processes and transportation.</w:t>
      </w:r>
    </w:p>
    <w:p>
      <w:r>
        <w:pict>
          <v:rect style="width:0;height:1.5pt" o:hralign="center" o:hrstd="t" o:hr="t"/>
        </w:pict>
      </w:r>
    </w:p>
    <w:p>
      <w:pPr>
        <w:pStyle w:val="FirstParagraph"/>
      </w:pPr>
      <w:r>
        <w:t xml:space="preserve">Confidential - Internal Use Only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nyskkedjjy</dc:title>
  <dc:creator/>
  <dc:description>A high-detail Product Carbon Footprint (PCF) analysis report for nyskkedjjy, conducted by orzkejlivz, Senior Sustainability Consultant at ehqudizhsk, adhering to GHG Protocol standards and 2026 requirements.</dc:description>
  <dc:language>en</dc:language>
  <cp:keywords/>
  <dcterms:created xsi:type="dcterms:W3CDTF">2026-05-30T10:36:41Z</dcterms:created>
  <dcterms:modified xsi:type="dcterms:W3CDTF">2026-05-30T10:36:41Z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