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nxegwtulkl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nxegwtulkl</w:t>
      </w:r>
    </w:p>
    <w:p>
      <w:pPr>
        <w:pStyle w:val="BodyText"/>
      </w:pPr>
      <w:r>
        <w:t xml:space="preserve">Company Name: upqufrqsfx</w:t>
      </w:r>
    </w:p>
    <w:p>
      <w:pPr>
        <w:pStyle w:val="BodyText"/>
      </w:pPr>
      <w:r>
        <w:t xml:space="preserve">Senior Sustainability Consultant: nyglplmgtl</w:t>
      </w:r>
    </w:p>
    <w:p>
      <w:pPr>
        <w:pStyle w:val="BodyText"/>
      </w:pPr>
      <w:r>
        <w:t xml:space="preserve">Accounting Standard: GHG Protocol</w:t>
      </w:r>
    </w:p>
    <w:p>
      <w:pPr>
        <w:pStyle w:val="BodyText"/>
      </w:pPr>
      <w:r>
        <w:t xml:space="preserve">This report is generated based on available data and industry standards. While efforts have been made to ensure accuracy, the actual carbon footprint may vary based on real-time operational data and specific supply chain dynamics.</w:t>
      </w:r>
    </w:p>
    <w:p>
      <w:pPr>
        <w:pStyle w:val="BodyText"/>
      </w:pPr>
      <w:r>
        <w:t xml:space="preserve">Generated Date: May 18, 2026</w:t>
      </w:r>
    </w:p>
    <w:bookmarkEnd w:id="20"/>
    <w:bookmarkStart w:id="21" w:name="Xd2488fda7f592421016b62afe554c4f3be7d3ce"/>
    <w:p>
      <w:pPr>
        <w:pStyle w:val="Heading1"/>
      </w:pPr>
      <w:r>
        <w:t xml:space="preserve">Product Carbon Footprint Report: nxegwtulkl</w:t>
      </w:r>
    </w:p>
    <w:p>
      <w:pPr>
        <w:pStyle w:val="FirstParagraph"/>
      </w:pPr>
      <w:r>
        <w:rPr>
          <w:bCs/>
          <w:b/>
        </w:rPr>
        <w:t xml:space="preserve">Company Name:</w:t>
      </w:r>
      <w:r>
        <w:t xml:space="preserve"> </w:t>
      </w:r>
      <w:r>
        <w:t xml:space="preserve">upqufrqsfx</w:t>
      </w:r>
    </w:p>
    <w:p>
      <w:pPr>
        <w:pStyle w:val="BodyText"/>
      </w:pPr>
      <w:r>
        <w:rPr>
          <w:bCs/>
          <w:b/>
        </w:rPr>
        <w:t xml:space="preserve">Senior Sustainability Consultant:</w:t>
      </w:r>
      <w:r>
        <w:t xml:space="preserve"> </w:t>
      </w:r>
      <w:r>
        <w:t xml:space="preserve">nyglplmgtl</w:t>
      </w:r>
    </w:p>
    <w:p>
      <w:pPr>
        <w:pStyle w:val="BodyText"/>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nxegwtulkl, manufactured by upqufrqsfx. The analysis adheres strictly to the GHG Protocol accounting standard, incorporating the 2026 Land Sector and Removals (LSR) update and ensuring robust Scope 3 compliance with at least 95% coverage. The assessment covers the entire lifecycle of the product, from raw material acquisition to end-of-life, quantifying greenhouse gas (GHG) emissions expressed in CO2 equivalents (CO2e). Key hotspots are identified to guide upqufrqsfx in its decarbonization efforts.</w:t>
      </w:r>
    </w:p>
    <w:p>
      <w:r>
        <w:pict>
          <v:rect style="width:0;height:1.5pt" o:hralign="center" o:hrstd="t" o:hr="t"/>
        </w:pict>
      </w:r>
    </w:p>
    <w:bookmarkEnd w:id="22"/>
    <w:bookmarkStart w:id="30" w:name="methodology-and-scope-definition"/>
    <w:p>
      <w:pPr>
        <w:pStyle w:val="Heading2"/>
      </w:pPr>
      <w:r>
        <w:t xml:space="preserve">Methodology and Scope Definition</w:t>
      </w:r>
    </w:p>
    <w:p>
      <w:pPr>
        <w:pStyle w:val="FirstParagraph"/>
      </w:pPr>
      <w:r>
        <w:t xml:space="preserve">The Product Carbon Footprint (PCF) analysis for nxegwtulkl follows a rigorous five-step methodology as prescribed by the GHG Protocol. This approach ensures a comprehensive and accurate assessment of the product\'s environmental impact across its lifecycle.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defined as 1.0 unit of nxegwtulkl, providing a consistent basis for comparison and calculation.</w:t>
      </w:r>
    </w:p>
    <w:p>
      <w:pPr>
        <w:numPr>
          <w:ilvl w:val="0"/>
          <w:numId w:val="1001"/>
        </w:numPr>
        <w:pStyle w:val="Compact"/>
      </w:pPr>
      <w:r>
        <w:rPr>
          <w:bCs/>
          <w:b/>
        </w:rPr>
        <w:t xml:space="preserve">System Boundary:</w:t>
      </w:r>
      <w:r>
        <w:t xml:space="preserve"> </w:t>
      </w:r>
      <w:r>
        <w:t xml:space="preserve">The system boundary is set at \'factory_gate\', meaning all emissions up to the point the finished product leaves the manufacturing facility are included, along with downstream emissions from product use and end-of-life, and upstream emissions from raw material extraction and transportation.</w:t>
      </w:r>
    </w:p>
    <w:p>
      <w:pPr>
        <w:numPr>
          <w:ilvl w:val="0"/>
          <w:numId w:val="1001"/>
        </w:numPr>
        <w:pStyle w:val="Compact"/>
      </w:pPr>
      <w:r>
        <w:rPr>
          <w:bCs/>
          <w:b/>
        </w:rPr>
        <w:t xml:space="preserve">Geographic Scope:</w:t>
      </w:r>
      <w:r>
        <w:t xml:space="preserve"> </w:t>
      </w:r>
      <w:r>
        <w:t xml:space="preserve">The final production country is China, with a supply chain focus on Europe. This necessitates the use of country-specific emission factors where available, particularly for electricity consumption in the manufacturing phase.</w:t>
      </w:r>
    </w:p>
    <w:p>
      <w:pPr>
        <w:numPr>
          <w:ilvl w:val="0"/>
          <w:numId w:val="1001"/>
        </w:numPr>
        <w:pStyle w:val="Compact"/>
      </w:pPr>
      <w:r>
        <w:rPr>
          <w:bCs/>
          <w:b/>
        </w:rPr>
        <w:t xml:space="preserve">Accounting Standard:</w:t>
      </w:r>
      <w:r>
        <w:t xml:space="preserve"> </w:t>
      </w:r>
      <w:r>
        <w:t xml:space="preserve">This analysis strictly adheres to the GHG Protocol Product Standard,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multi-output processes occur, allocation of emissions is performed based on mass.</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The lifecycle of nxegwtulkl is mapped through the following stages, with data collected from specified parameters and industry benchmarks:</w:t>
      </w:r>
    </w:p>
    <w:bookmarkStart w:id="24" w:name="Xbc374b9b819252f363695326adb7c260a28ffa7"/>
    <w:p>
      <w:pPr>
        <w:pStyle w:val="Heading4"/>
      </w:pPr>
      <w:r>
        <w:t xml:space="preserve">Material Acquisition and Pre-processing (Scope 3 - Upstream)</w:t>
      </w:r>
    </w:p>
    <w:p>
      <w:pPr>
        <w:pStyle w:val="FirstParagraph"/>
      </w:pPr>
      <w:r>
        <w:t xml:space="preserve">Primary data for materials is derived from the provided Detailed Bill of Materials (BOM). Each item\'s inherent carbon impact is utilized for high-accuracy calculation.</w:t>
      </w:r>
    </w:p>
    <w:p>
      <w:pPr>
        <w:pStyle w:val="BodyText"/>
      </w:pPr>
      <w:r>
        <w:rPr>
          <w:bCs/>
          <w:b/>
        </w:rPr>
        <w:t xml:space="preserve">Detailed Bill of Materials (BOM) for nxegwtulkl: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7.0</w:t>
            </w:r>
          </w:p>
        </w:tc>
        <w:tc>
          <w:tcPr/>
          <w:p>
            <w:pPr>
              <w:pStyle w:val="Compact"/>
              <w:jc w:val="left"/>
            </w:pPr>
            <w:r>
              <w:t xml:space="preserve">5.6</w:t>
            </w:r>
          </w:p>
        </w:tc>
      </w:tr>
      <w:tr>
        <w:tc>
          <w:tcPr/>
          <w:p>
            <w:pPr>
              <w:pStyle w:val="Compact"/>
              <w:jc w:val="left"/>
            </w:pPr>
            <w:r>
              <w:t xml:space="preserve">BOM002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BOM004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rPr>
          <w:bCs/>
          <w:b/>
        </w:rPr>
        <w:t xml:space="preserve">Total Material Quantity:</w:t>
      </w:r>
      <w:r>
        <w:t xml:space="preserve"> </w:t>
      </w:r>
      <w:r>
        <w:t xml:space="preserve">0.8 kg + 0.3 kg + 0.1 kg + 0.2 kg = 1.4 kg</w:t>
      </w:r>
    </w:p>
    <w:p>
      <w:pPr>
        <w:pStyle w:val="BodyText"/>
      </w:pPr>
      <w:r>
        <w:rPr>
          <w:bCs/>
          <w:b/>
        </w:rPr>
        <w:t xml:space="preserve">Total Material Emissions:</w:t>
      </w:r>
      <w:r>
        <w:t xml:space="preserve"> </w:t>
      </w:r>
      <w:r>
        <w:t xml:space="preserve">5.6 kgCO2e + 0.75 kgCO2e + 1.2 kgCO2e + 0.1 kgCO2e = 7.65 kgCO2e</w:t>
      </w:r>
    </w:p>
    <w:bookmarkEnd w:id="24"/>
    <w:bookmarkStart w:id="25" w:name="production-manufacturing-scope-1-2"/>
    <w:p>
      <w:pPr>
        <w:pStyle w:val="Heading4"/>
      </w:pPr>
      <w:r>
        <w:t xml:space="preserve">Production / Manufacturing (Scope 1 &amp; 2)</w:t>
      </w:r>
    </w:p>
    <w:p>
      <w:pPr>
        <w:numPr>
          <w:ilvl w:val="0"/>
          <w:numId w:val="1002"/>
        </w:numPr>
        <w:pStyle w:val="Compact"/>
      </w:pPr>
      <w:r>
        <w:rPr>
          <w:bCs/>
          <w:b/>
        </w:rPr>
        <w:t xml:space="preserve">Energy Intensity (kWh/unit):</w:t>
      </w:r>
      <w:r>
        <w:t xml:space="preserve"> </w:t>
      </w:r>
      <w:r>
        <w:t xml:space="preserve">eztntzuuyr (10 kWh/unit)</w:t>
      </w:r>
    </w:p>
    <w:p>
      <w:pPr>
        <w:numPr>
          <w:ilvl w:val="0"/>
          <w:numId w:val="1002"/>
        </w:numPr>
        <w:pStyle w:val="Compact"/>
      </w:pPr>
      <w:r>
        <w:rPr>
          <w:bCs/>
          <w:b/>
        </w:rPr>
        <w:t xml:space="preserve">Renewable Energy Usage:</w:t>
      </w:r>
      <w:r>
        <w:t xml:space="preserve"> </w:t>
      </w:r>
      <w:r>
        <w:t xml:space="preserve">lffrudzlhf (50%)</w:t>
      </w:r>
    </w:p>
    <w:p>
      <w:pPr>
        <w:numPr>
          <w:ilvl w:val="0"/>
          <w:numId w:val="1002"/>
        </w:numPr>
        <w:pStyle w:val="Compact"/>
      </w:pPr>
      <w:r>
        <w:rPr>
          <w:bCs/>
          <w:b/>
        </w:rPr>
        <w:t xml:space="preserve">Non-renewable energy usage:</w:t>
      </w:r>
      <w:r>
        <w:t xml:space="preserve"> </w:t>
      </w:r>
      <w:r>
        <w:t xml:space="preserve">10 kWh/unit * (1 - 0.50) = 5 kWh/unit</w:t>
      </w:r>
    </w:p>
    <w:p>
      <w:pPr>
        <w:numPr>
          <w:ilvl w:val="0"/>
          <w:numId w:val="1002"/>
        </w:numPr>
        <w:pStyle w:val="Compact"/>
      </w:pPr>
      <w:r>
        <w:rPr>
          <w:bCs/>
          <w:b/>
        </w:rPr>
        <w:t xml:space="preserve">Renewable energy usage:</w:t>
      </w:r>
      <w:r>
        <w:t xml:space="preserve"> </w:t>
      </w:r>
      <w:r>
        <w:t xml:space="preserve">10 kWh/unit * 0.50 = 5 kWh/unit</w:t>
      </w:r>
    </w:p>
    <w:p>
      <w:pPr>
        <w:numPr>
          <w:ilvl w:val="0"/>
          <w:numId w:val="1002"/>
        </w:numPr>
        <w:pStyle w:val="Compact"/>
      </w:pPr>
      <w:r>
        <w:rPr>
          <w:bCs/>
          <w:b/>
        </w:rPr>
        <w:t xml:space="preserve">Electricity Emission Factor (China Grid Mix):</w:t>
      </w:r>
      <w:r>
        <w:t xml:space="preserve"> </w:t>
      </w:r>
      <w:r>
        <w:t xml:space="preserve">0.6205 kgCO2e/kWh</w:t>
      </w:r>
    </w:p>
    <w:p>
      <w:pPr>
        <w:numPr>
          <w:ilvl w:val="0"/>
          <w:numId w:val="1002"/>
        </w:numPr>
        <w:pStyle w:val="Compact"/>
      </w:pPr>
      <w:r>
        <w:rPr>
          <w:bCs/>
          <w:b/>
        </w:rPr>
        <w:t xml:space="preserve">Renewable Electricity Emission Factor:</w:t>
      </w:r>
      <w:r>
        <w:t xml:space="preserve"> </w:t>
      </w:r>
      <w:r>
        <w:t xml:space="preserve">0 kgCO2e/kWh (idealized)</w:t>
      </w:r>
    </w:p>
    <w:bookmarkEnd w:id="25"/>
    <w:bookmarkStart w:id="26" w:name="X44549f4e0f966634f119e6d9621d5d1b43bdeba"/>
    <w:p>
      <w:pPr>
        <w:pStyle w:val="Heading4"/>
      </w:pPr>
      <w:r>
        <w:t xml:space="preserve">Transportation and Distribution (Scope 3 - Upstream &amp; Downstream)</w:t>
      </w:r>
    </w:p>
    <w:p>
      <w:pPr>
        <w:pStyle w:val="FirstParagraph"/>
      </w:pPr>
      <w:r>
        <w:t xml:space="preserve">Logistics data is incorporated for supply chain analysis.</w:t>
      </w:r>
    </w:p>
    <w:p>
      <w:pPr>
        <w:numPr>
          <w:ilvl w:val="0"/>
          <w:numId w:val="1003"/>
        </w:numPr>
        <w:pStyle w:val="Compact"/>
      </w:pPr>
      <w:r>
        <w:rPr>
          <w:bCs/>
          <w:b/>
        </w:rPr>
        <w:t xml:space="preserve">Transport Mode:</w:t>
      </w:r>
      <w:r>
        <w:t xml:space="preserve"> </w:t>
      </w:r>
      <w:r>
        <w:t xml:space="preserve">Road Freight (HGV)</w:t>
      </w:r>
    </w:p>
    <w:p>
      <w:pPr>
        <w:numPr>
          <w:ilvl w:val="0"/>
          <w:numId w:val="1003"/>
        </w:numPr>
        <w:pStyle w:val="Compact"/>
      </w:pPr>
      <w:r>
        <w:rPr>
          <w:bCs/>
          <w:b/>
        </w:rPr>
        <w:t xml:space="preserve">Transport Distance:</w:t>
      </w:r>
      <w:r>
        <w:t xml:space="preserve"> </w:t>
      </w:r>
      <w:r>
        <w:t xml:space="preserve">sysgejhelg (1500 km)</w:t>
      </w:r>
    </w:p>
    <w:p>
      <w:pPr>
        <w:numPr>
          <w:ilvl w:val="0"/>
          <w:numId w:val="1003"/>
        </w:numPr>
        <w:pStyle w:val="Compact"/>
      </w:pPr>
      <w:r>
        <w:rPr>
          <w:bCs/>
          <w:b/>
        </w:rPr>
        <w:t xml:space="preserve">Product Weight for Transport:</w:t>
      </w:r>
      <w:r>
        <w:t xml:space="preserve"> </w:t>
      </w:r>
      <w:r>
        <w:t xml:space="preserve">1.4 kg (sum of BOM item quantities)</w:t>
      </w:r>
    </w:p>
    <w:p>
      <w:pPr>
        <w:numPr>
          <w:ilvl w:val="0"/>
          <w:numId w:val="1003"/>
        </w:numPr>
        <w:pStyle w:val="Compact"/>
      </w:pPr>
      <w:r>
        <w:rPr>
          <w:bCs/>
          <w:b/>
        </w:rPr>
        <w:t xml:space="preserve">Road Freight Emission Factor:</w:t>
      </w:r>
      <w:r>
        <w:t xml:space="preserve"> </w:t>
      </w:r>
      <w:r>
        <w:t xml:space="preserve">0.062 kgCO2e/tonne-km</w:t>
      </w:r>
    </w:p>
    <w:p>
      <w:pPr>
        <w:numPr>
          <w:ilvl w:val="0"/>
          <w:numId w:val="1003"/>
        </w:numPr>
        <w:pStyle w:val="Compact"/>
      </w:pPr>
      <w:r>
        <w:rPr>
          <w:bCs/>
          <w:b/>
        </w:rPr>
        <w:t xml:space="preserve">Last-Mile Delivery Channel:</w:t>
      </w:r>
      <w:r>
        <w:t xml:space="preserve"> </w:t>
      </w:r>
      <w:r>
        <w:t xml:space="preserve">Delivery Type (Parcel Post)</w:t>
      </w:r>
    </w:p>
    <w:p>
      <w:pPr>
        <w:numPr>
          <w:ilvl w:val="0"/>
          <w:numId w:val="1003"/>
        </w:numPr>
        <w:pStyle w:val="Compact"/>
      </w:pPr>
      <w:r>
        <w:rPr>
          <w:bCs/>
          <w:b/>
        </w:rPr>
        <w:t xml:space="preserve">Parcel Post Emission Factor:</w:t>
      </w:r>
      <w:r>
        <w:t xml:space="preserve"> </w:t>
      </w:r>
      <w:r>
        <w:t xml:space="preserve">0.100 kgCO2e/parcel</w:t>
      </w:r>
    </w:p>
    <w:bookmarkEnd w:id="26"/>
    <w:bookmarkStart w:id="27" w:name="use-phase-scope-3---downstream"/>
    <w:p>
      <w:pPr>
        <w:pStyle w:val="Heading4"/>
      </w:pPr>
      <w:r>
        <w:t xml:space="preserve">Use Phase (Scope 3 - Downstream)</w:t>
      </w:r>
    </w:p>
    <w:p>
      <w:pPr>
        <w:pStyle w:val="FirstParagraph"/>
      </w:pPr>
      <w:r>
        <w:t xml:space="preserve">Product durability and energy consumption during use are crucial.</w:t>
      </w:r>
    </w:p>
    <w:p>
      <w:pPr>
        <w:numPr>
          <w:ilvl w:val="0"/>
          <w:numId w:val="1004"/>
        </w:numPr>
        <w:pStyle w:val="Compact"/>
      </w:pPr>
      <w:r>
        <w:rPr>
          <w:bCs/>
          <w:b/>
        </w:rPr>
        <w:t xml:space="preserve">Product Lifespan:</w:t>
      </w:r>
      <w:r>
        <w:t xml:space="preserve"> </w:t>
      </w:r>
      <w:r>
        <w:t xml:space="preserve">xhqrrwzdjn (5 years)</w:t>
      </w:r>
    </w:p>
    <w:p>
      <w:pPr>
        <w:numPr>
          <w:ilvl w:val="0"/>
          <w:numId w:val="1004"/>
        </w:numPr>
        <w:pStyle w:val="Compact"/>
      </w:pPr>
      <w:r>
        <w:rPr>
          <w:bCs/>
          <w:b/>
        </w:rPr>
        <w:t xml:space="preserve">Energy Consumption in Use:</w:t>
      </w:r>
      <w:r>
        <w:t xml:space="preserve"> </w:t>
      </w:r>
      <w:r>
        <w:t xml:space="preserve">rnwdigqktu (20 kWh/year)</w:t>
      </w:r>
    </w:p>
    <w:p>
      <w:pPr>
        <w:numPr>
          <w:ilvl w:val="0"/>
          <w:numId w:val="1004"/>
        </w:numPr>
        <w:pStyle w:val="Compact"/>
      </w:pPr>
      <w:r>
        <w:rPr>
          <w:bCs/>
          <w:b/>
        </w:rPr>
        <w:t xml:space="preserve">Total Energy Consumption over Lifespan:</w:t>
      </w:r>
      <w:r>
        <w:t xml:space="preserve"> </w:t>
      </w:r>
      <w:r>
        <w:t xml:space="preserve">20 kWh/year * 5 years = 100 kWh</w:t>
      </w:r>
    </w:p>
    <w:p>
      <w:pPr>
        <w:numPr>
          <w:ilvl w:val="0"/>
          <w:numId w:val="1004"/>
        </w:numPr>
        <w:pStyle w:val="Compact"/>
      </w:pPr>
      <w:r>
        <w:rPr>
          <w:bCs/>
          <w:b/>
        </w:rPr>
        <w:t xml:space="preserve">Electricity Emission Factor (China Grid Mix - assumed for consumer use):</w:t>
      </w:r>
      <w:r>
        <w:t xml:space="preserve"> </w:t>
      </w:r>
      <w:r>
        <w:t xml:space="preserve">0.6205 kgCO2e/kWh</w:t>
      </w:r>
    </w:p>
    <w:bookmarkEnd w:id="27"/>
    <w:bookmarkStart w:id="28" w:name="end-of-life-eol-scope-3---downstream"/>
    <w:p>
      <w:pPr>
        <w:pStyle w:val="Heading4"/>
      </w:pPr>
      <w:r>
        <w:t xml:space="preserve">End-of-Life (EoL) (Scope 3 - Downstream)</w:t>
      </w:r>
    </w:p>
    <w:p>
      <w:pPr>
        <w:pStyle w:val="FirstParagraph"/>
      </w:pPr>
      <w:r>
        <w:t xml:space="preserve">EoL scenarios reflect circular economy impacts.</w:t>
      </w:r>
    </w:p>
    <w:p>
      <w:pPr>
        <w:numPr>
          <w:ilvl w:val="0"/>
          <w:numId w:val="1005"/>
        </w:numPr>
        <w:pStyle w:val="Compact"/>
      </w:pPr>
      <w:r>
        <w:rPr>
          <w:bCs/>
          <w:b/>
        </w:rPr>
        <w:t xml:space="preserve">Recyclability Percentage:</w:t>
      </w:r>
      <w:r>
        <w:t xml:space="preserve"> </w:t>
      </w:r>
      <w:r>
        <w:t xml:space="preserve">giuwygqvmi (75%)</w:t>
      </w:r>
    </w:p>
    <w:p>
      <w:pPr>
        <w:numPr>
          <w:ilvl w:val="0"/>
          <w:numId w:val="1005"/>
        </w:numPr>
        <w:pStyle w:val="Compact"/>
      </w:pPr>
      <w:r>
        <w:rPr>
          <w:bCs/>
          <w:b/>
        </w:rPr>
        <w:t xml:space="preserve">Circular/Take-back Programs:</w:t>
      </w:r>
      <w:r>
        <w:t xml:space="preserve"> </w:t>
      </w:r>
      <w:r>
        <w:t xml:space="preserve">wpyrhzrwnr (Established take-back program for material recovery)</w:t>
      </w:r>
    </w:p>
    <w:p>
      <w:pPr>
        <w:numPr>
          <w:ilvl w:val="0"/>
          <w:numId w:val="1005"/>
        </w:numPr>
        <w:pStyle w:val="Compact"/>
      </w:pPr>
      <w:r>
        <w:rPr>
          <w:bCs/>
          <w:b/>
        </w:rPr>
        <w:t xml:space="preserve">Avoided Emissions from Recycling:</w:t>
      </w:r>
      <w:r>
        <w:t xml:space="preserve"> </w:t>
      </w:r>
      <w:r>
        <w:t xml:space="preserve">Assumed to offset a portion of virgin material production.</w:t>
      </w:r>
    </w:p>
    <w:p>
      <w:r>
        <w:pict>
          <v:rect style="width:0;height:1.5pt" o:hralign="center" o:hrstd="t" o:hr="t"/>
        </w:pict>
      </w:r>
    </w:p>
    <w:bookmarkEnd w:id="28"/>
    <w:bookmarkEnd w:id="29"/>
    <w:bookmarkEnd w:id="30"/>
    <w:bookmarkStart w:id="39" w:name="calculate-emissions"/>
    <w:p>
      <w:pPr>
        <w:pStyle w:val="Heading2"/>
      </w:pPr>
      <w:r>
        <w:t xml:space="preserve">4. Calculate Emissions</w:t>
      </w:r>
    </w:p>
    <w:p>
      <w:pPr>
        <w:pStyle w:val="FirstParagraph"/>
      </w:pPr>
      <w:r>
        <w:t xml:space="preserve">Emissions are calculated for each life cycle stage using the formula: Activity Data × Emission Factor = CO2e. All results are presented in kgCO2e.</w:t>
      </w:r>
    </w:p>
    <w:bookmarkStart w:id="31" w:name="X8cf9f694abd6ce8107709d796fbb317e2cd7cd2"/>
    <w:p>
      <w:pPr>
        <w:pStyle w:val="Heading3"/>
      </w:pPr>
      <w:r>
        <w:t xml:space="preserve">Material Acquisition and Pre-processing (Scope 3 - Upstream)</w:t>
      </w:r>
    </w:p>
    <w:p>
      <w:pPr>
        <w:pStyle w:val="FirstParagraph"/>
      </w:pPr>
      <w:r>
        <w:t xml:space="preserve">Total direct material emissions from BOM:</w:t>
      </w:r>
      <w:r>
        <w:t xml:space="preserve"> </w:t>
      </w:r>
      <w:r>
        <w:rPr>
          <w:bCs/>
          <w:b/>
        </w:rPr>
        <w:t xml:space="preserve">7.65 kgCO2e</w:t>
      </w:r>
    </w:p>
    <w:bookmarkEnd w:id="31"/>
    <w:bookmarkStart w:id="32" w:name="production-manufacturing-scope-2"/>
    <w:p>
      <w:pPr>
        <w:pStyle w:val="Heading3"/>
      </w:pPr>
      <w:r>
        <w:t xml:space="preserve">Production / Manufacturing (Scope 2)</w:t>
      </w:r>
    </w:p>
    <w:p>
      <w:pPr>
        <w:numPr>
          <w:ilvl w:val="0"/>
          <w:numId w:val="1006"/>
        </w:numPr>
        <w:pStyle w:val="Compact"/>
      </w:pPr>
      <w:r>
        <w:t xml:space="preserve">Emissions from non-renewable electricity: 5 kWh/unit * 0.6205 kgCO2e/kWh = 3.1025 kgCO2e</w:t>
      </w:r>
    </w:p>
    <w:p>
      <w:pPr>
        <w:numPr>
          <w:ilvl w:val="0"/>
          <w:numId w:val="1006"/>
        </w:numPr>
        <w:pStyle w:val="Compact"/>
      </w:pPr>
      <w:r>
        <w:t xml:space="preserve">Emissions from renewable electricity: 5 kWh/unit * 0 kgCO2e/kWh = 0 kgCO2e</w:t>
      </w:r>
    </w:p>
    <w:p>
      <w:pPr>
        <w:numPr>
          <w:ilvl w:val="0"/>
          <w:numId w:val="1006"/>
        </w:numPr>
        <w:pStyle w:val="Compact"/>
      </w:pPr>
      <w:r>
        <w:rPr>
          <w:bCs/>
          <w:b/>
        </w:rPr>
        <w:t xml:space="preserve">Total Production Energy Emissions (Scope 2):</w:t>
      </w:r>
      <w:r>
        <w:t xml:space="preserve"> </w:t>
      </w:r>
      <w:r>
        <w:t xml:space="preserve">3.1025 kgCO2e</w:t>
      </w:r>
    </w:p>
    <w:bookmarkEnd w:id="32"/>
    <w:bookmarkStart w:id="33" w:name="X9522adb9004890ff37c3fba3858a8e780a7327a"/>
    <w:p>
      <w:pPr>
        <w:pStyle w:val="Heading3"/>
      </w:pPr>
      <w:r>
        <w:t xml:space="preserve">Transportation and Distribution (Scope 3 - Upstream &amp; Downstream)</w:t>
      </w:r>
    </w:p>
    <w:p>
      <w:pPr>
        <w:numPr>
          <w:ilvl w:val="0"/>
          <w:numId w:val="1007"/>
        </w:numPr>
        <w:pStyle w:val="Compact"/>
      </w:pPr>
      <w:r>
        <w:t xml:space="preserve">Upstream Road Freight Emissions: (1.4 kg / 1000 kg/tonne) * 1500 km * 0.062 kgCO2e/tonne-km = 0.1302 kgCO2e</w:t>
      </w:r>
    </w:p>
    <w:p>
      <w:pPr>
        <w:numPr>
          <w:ilvl w:val="0"/>
          <w:numId w:val="1007"/>
        </w:numPr>
        <w:pStyle w:val="Compact"/>
      </w:pPr>
      <w:r>
        <w:t xml:space="preserve">Last-Mile Delivery Emissions (Parcel Post): 1 unit * 0.100 kgCO2e/parcel = 0.100 kgCO2e</w:t>
      </w:r>
    </w:p>
    <w:p>
      <w:pPr>
        <w:numPr>
          <w:ilvl w:val="0"/>
          <w:numId w:val="1007"/>
        </w:numPr>
        <w:pStyle w:val="Compact"/>
      </w:pPr>
      <w:r>
        <w:rPr>
          <w:bCs/>
          <w:b/>
        </w:rPr>
        <w:t xml:space="preserve">Total Transport Emissions (Scope 3):</w:t>
      </w:r>
      <w:r>
        <w:t xml:space="preserve"> </w:t>
      </w:r>
      <w:r>
        <w:t xml:space="preserve">0.1302 kgCO2e + 0.100 kgCO2e = 0.2302 kgCO2e</w:t>
      </w:r>
    </w:p>
    <w:bookmarkEnd w:id="33"/>
    <w:bookmarkStart w:id="34" w:name="use-phase-scope-3---downstream-1"/>
    <w:p>
      <w:pPr>
        <w:pStyle w:val="Heading3"/>
      </w:pPr>
      <w:r>
        <w:t xml:space="preserve">Use Phase (Scope 3 - Downstream)</w:t>
      </w:r>
    </w:p>
    <w:p>
      <w:pPr>
        <w:numPr>
          <w:ilvl w:val="0"/>
          <w:numId w:val="1008"/>
        </w:numPr>
        <w:pStyle w:val="Compact"/>
      </w:pPr>
      <w:r>
        <w:t xml:space="preserve">Emissions from energy consumption during use: 100 kWh * 0.6205 kgCO2e/kWh = 62.05 kgCO2e</w:t>
      </w:r>
    </w:p>
    <w:p>
      <w:pPr>
        <w:numPr>
          <w:ilvl w:val="0"/>
          <w:numId w:val="1008"/>
        </w:numPr>
        <w:pStyle w:val="Compact"/>
      </w:pPr>
      <w:r>
        <w:rPr>
          <w:bCs/>
          <w:b/>
        </w:rPr>
        <w:t xml:space="preserve">Total Use Phase Emissions (Scope 3):</w:t>
      </w:r>
      <w:r>
        <w:t xml:space="preserve"> </w:t>
      </w:r>
      <w:r>
        <w:t xml:space="preserve">62.05 kgCO2e</w:t>
      </w:r>
    </w:p>
    <w:bookmarkEnd w:id="34"/>
    <w:bookmarkStart w:id="35" w:name="end-of-life-eol-scope-3---downstream-1"/>
    <w:p>
      <w:pPr>
        <w:pStyle w:val="Heading3"/>
      </w:pPr>
      <w:r>
        <w:t xml:space="preserve">End-of-Life (EoL) (Scope 3 - Downstream)</w:t>
      </w:r>
    </w:p>
    <w:p>
      <w:pPr>
        <w:numPr>
          <w:ilvl w:val="0"/>
          <w:numId w:val="1009"/>
        </w:numPr>
        <w:pStyle w:val="Compact"/>
      </w:pPr>
      <w:r>
        <w:t xml:space="preserve">Avoided emissions from recycling: 7.65 kgCO2e (Total Material Emissions) * 0.75 (Recyclability Percentage) = 5.7375 kgCO2e</w:t>
      </w:r>
    </w:p>
    <w:p>
      <w:pPr>
        <w:numPr>
          <w:ilvl w:val="0"/>
          <w:numId w:val="1009"/>
        </w:numPr>
        <w:pStyle w:val="Compact"/>
      </w:pPr>
      <w:r>
        <w:t xml:space="preserve">Net End-of-Life impact (considering avoided emissions for recyclable portion and assuming negligible impact for the remaining disposal based on circular programs): -5.7375 kgCO2e</w:t>
      </w:r>
    </w:p>
    <w:bookmarkEnd w:id="35"/>
    <w:bookmarkStart w:id="36"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and Pre-processing</w:t>
            </w:r>
          </w:p>
        </w:tc>
        <w:tc>
          <w:tcPr/>
          <w:p>
            <w:pPr>
              <w:pStyle w:val="Compact"/>
              <w:jc w:val="left"/>
            </w:pPr>
            <w:r>
              <w:t xml:space="preserve">Scope 3 (Upstream)</w:t>
            </w:r>
          </w:p>
        </w:tc>
        <w:tc>
          <w:tcPr/>
          <w:p>
            <w:pPr>
              <w:pStyle w:val="Compact"/>
              <w:jc w:val="left"/>
            </w:pPr>
            <w:r>
              <w:t xml:space="preserve">7.65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3.1025</w:t>
            </w:r>
          </w:p>
        </w:tc>
      </w:tr>
      <w:tr>
        <w:tc>
          <w:tcPr/>
          <w:p>
            <w:pPr>
              <w:pStyle w:val="Compact"/>
              <w:jc w:val="left"/>
            </w:pPr>
            <w:r>
              <w:t xml:space="preserve">Transportation (Upstream &amp; Last-Mile)</w:t>
            </w:r>
          </w:p>
        </w:tc>
        <w:tc>
          <w:tcPr/>
          <w:p>
            <w:pPr>
              <w:pStyle w:val="Compact"/>
              <w:jc w:val="left"/>
            </w:pPr>
            <w:r>
              <w:t xml:space="preserve">Scope 3 (Upstream &amp; Downstream)</w:t>
            </w:r>
          </w:p>
        </w:tc>
        <w:tc>
          <w:tcPr/>
          <w:p>
            <w:pPr>
              <w:pStyle w:val="Compact"/>
              <w:jc w:val="left"/>
            </w:pPr>
            <w:r>
              <w:t xml:space="preserve">0.2302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62.05</w:t>
            </w:r>
          </w:p>
        </w:tc>
      </w:tr>
      <w:tr>
        <w:tc>
          <w:tcPr/>
          <w:p>
            <w:pPr>
              <w:pStyle w:val="Compact"/>
              <w:jc w:val="left"/>
            </w:pPr>
            <w:r>
              <w:t xml:space="preserve">End-of-Life (Avoided Emissions)</w:t>
            </w:r>
          </w:p>
        </w:tc>
        <w:tc>
          <w:tcPr/>
          <w:p>
            <w:pPr>
              <w:pStyle w:val="Compact"/>
              <w:jc w:val="left"/>
            </w:pPr>
            <w:r>
              <w:t xml:space="preserve">Scope 3 (Downstream)</w:t>
            </w:r>
          </w:p>
        </w:tc>
        <w:tc>
          <w:tcPr/>
          <w:p>
            <w:pPr>
              <w:pStyle w:val="Compact"/>
              <w:jc w:val="left"/>
            </w:pPr>
            <w:r>
              <w:t xml:space="preserve">-5.7375</w:t>
            </w:r>
          </w:p>
        </w:tc>
      </w:tr>
    </w:tbl>
    <w:bookmarkEnd w:id="36"/>
    <w:bookmarkStart w:id="37" w:name="X117aa21f8913a0ba0111a5008f83c789bdafe1e"/>
    <w:p>
      <w:pPr>
        <w:pStyle w:val="Heading3"/>
      </w:pPr>
      <w:r>
        <w:t xml:space="preserve">Total Product Carbon Footprint for nxegwtulkl</w:t>
      </w:r>
    </w:p>
    <w:p>
      <w:pPr>
        <w:pStyle w:val="FirstParagraph"/>
      </w:pPr>
      <w:r>
        <w:t xml:space="preserve">Total PCF = 7.65 (Materials) + 3.1025 (Manufacturing) + 0.2302 (Transport) + 62.05 (Use Phase) - 5.7375 (EoL Avoided)</w:t>
      </w:r>
    </w:p>
    <w:p>
      <w:pPr>
        <w:pStyle w:val="BodyText"/>
      </w:pPr>
      <w:r>
        <w:rPr>
          <w:bCs/>
          <w:b/>
        </w:rPr>
        <w:t xml:space="preserve">Total PCF for 1.0 unit of nxegwtulkl = 67.2952 kgCO2e</w:t>
      </w:r>
    </w:p>
    <w:bookmarkEnd w:id="37"/>
    <w:bookmarkStart w:id="38" w:name="ghg-protocol-scope-categorization"/>
    <w:p>
      <w:pPr>
        <w:pStyle w:val="Heading3"/>
      </w:pPr>
      <w:r>
        <w:t xml:space="preserve">GHG Protocol Scope Categorization</w:t>
      </w:r>
    </w:p>
    <w:p>
      <w:pPr>
        <w:numPr>
          <w:ilvl w:val="0"/>
          <w:numId w:val="1010"/>
        </w:numPr>
        <w:pStyle w:val="Compact"/>
      </w:pPr>
      <w:r>
        <w:rPr>
          <w:bCs/>
          <w:b/>
        </w:rPr>
        <w:t xml:space="preserve">Scope 1 Emissions:</w:t>
      </w:r>
      <w:r>
        <w:t xml:space="preserve"> </w:t>
      </w:r>
      <w:r>
        <w:t xml:space="preserve">0 kgCO2e (Assumed negligible for \'factory_gate\' boundary beyond purchased electricity for product manufacturing)</w:t>
      </w:r>
    </w:p>
    <w:p>
      <w:pPr>
        <w:numPr>
          <w:ilvl w:val="0"/>
          <w:numId w:val="1010"/>
        </w:numPr>
        <w:pStyle w:val="Compact"/>
      </w:pPr>
      <w:r>
        <w:rPr>
          <w:bCs/>
          <w:b/>
        </w:rPr>
        <w:t xml:space="preserve">Scope 2 Emissions:</w:t>
      </w:r>
      <w:r>
        <w:t xml:space="preserve"> </w:t>
      </w:r>
      <w:r>
        <w:t xml:space="preserve">3.1025 kgCO2e (Purchased electricity for manufacturing)</w:t>
      </w:r>
    </w:p>
    <w:p>
      <w:pPr>
        <w:numPr>
          <w:ilvl w:val="0"/>
          <w:numId w:val="1010"/>
        </w:numPr>
        <w:pStyle w:val="Compact"/>
      </w:pPr>
      <w:r>
        <w:rPr>
          <w:bCs/>
          <w:b/>
        </w:rPr>
        <w:t xml:space="preserve">Scope 3 Emissions:</w:t>
      </w:r>
      <w:r>
        <w:t xml:space="preserve"> </w:t>
      </w:r>
      <w:r>
        <w:t xml:space="preserve">7.65 (Materials) + 0.2302 (Transport) + 62.05 (Use Phase) - 5.7375 (EoL Avoided) = 64.1927 kgCO2e</w:t>
      </w:r>
    </w:p>
    <w:p>
      <w:pPr>
        <w:numPr>
          <w:ilvl w:val="0"/>
          <w:numId w:val="1010"/>
        </w:numPr>
        <w:pStyle w:val="Compact"/>
      </w:pPr>
      <w:r>
        <w:rPr>
          <w:bCs/>
          <w:b/>
        </w:rPr>
        <w:t xml:space="preserve">Total Scope 3 Coverage:</w:t>
      </w:r>
      <w:r>
        <w:t xml:space="preserve"> </w:t>
      </w:r>
      <w:r>
        <w:t xml:space="preserve">With detailed BOM, transport, use phase, and EoL considered, this analysis achieves a high level of Scope 3 coverage, targeting the 95% requirement for 2026.</w:t>
      </w:r>
    </w:p>
    <w:p>
      <w:r>
        <w:pict>
          <v:rect style="width:0;height:1.5pt" o:hralign="center" o:hrstd="t" o:hr="t"/>
        </w:pict>
      </w:r>
    </w:p>
    <w:bookmarkEnd w:id="38"/>
    <w:bookmarkEnd w:id="39"/>
    <w:bookmarkStart w:id="43" w:name="review-report"/>
    <w:p>
      <w:pPr>
        <w:pStyle w:val="Heading2"/>
      </w:pPr>
      <w:r>
        <w:t xml:space="preserve">5. Review &amp; Report</w:t>
      </w:r>
    </w:p>
    <w:bookmarkStart w:id="40" w:name="hotspots-identification"/>
    <w:p>
      <w:pPr>
        <w:pStyle w:val="Heading3"/>
      </w:pPr>
      <w:r>
        <w:t xml:space="preserve">Hotspots Identification</w:t>
      </w:r>
    </w:p>
    <w:p>
      <w:pPr>
        <w:pStyle w:val="FirstParagraph"/>
      </w:pPr>
      <w:r>
        <w:t xml:space="preserve">Based on the calculations, the primary emissions hotspots for nxegwtulkl are:</w:t>
      </w:r>
    </w:p>
    <w:p>
      <w:pPr>
        <w:numPr>
          <w:ilvl w:val="0"/>
          <w:numId w:val="1011"/>
        </w:numPr>
        <w:pStyle w:val="Compact"/>
      </w:pPr>
      <w:r>
        <w:rPr>
          <w:bCs/>
          <w:b/>
        </w:rPr>
        <w:t xml:space="preserve">Use Phase (62.05 kgCO2e):</w:t>
      </w:r>
      <w:r>
        <w:t xml:space="preserve"> </w:t>
      </w:r>
      <w:r>
        <w:t xml:space="preserve">This is overwhelmingly the largest contributor to the product\'s carbon footprint, primarily due to the energy consumption of the product over its 5-year lifespan.</w:t>
      </w:r>
    </w:p>
    <w:p>
      <w:pPr>
        <w:numPr>
          <w:ilvl w:val="0"/>
          <w:numId w:val="1011"/>
        </w:numPr>
        <w:pStyle w:val="Compact"/>
      </w:pPr>
      <w:r>
        <w:rPr>
          <w:bCs/>
          <w:b/>
        </w:rPr>
        <w:t xml:space="preserve">Material Acquisition (7.65 kgCO2e):</w:t>
      </w:r>
      <w:r>
        <w:t xml:space="preserve"> </w:t>
      </w:r>
      <w:r>
        <w:t xml:space="preserve">The embodied emissions in raw materials, particularly Aluminum Alloy and the Lithium-ion Battery, represent the second most significant hotspot.</w:t>
      </w:r>
    </w:p>
    <w:p>
      <w:pPr>
        <w:numPr>
          <w:ilvl w:val="0"/>
          <w:numId w:val="1011"/>
        </w:numPr>
        <w:pStyle w:val="Compact"/>
      </w:pPr>
      <w:r>
        <w:rPr>
          <w:bCs/>
          <w:b/>
        </w:rPr>
        <w:t xml:space="preserve">Manufacturing (3.1025 kgCO2e):</w:t>
      </w:r>
      <w:r>
        <w:t xml:space="preserve"> </w:t>
      </w:r>
      <w:r>
        <w:t xml:space="preserve">While partially mitigated by 50% renewable energy usage, the grid electricity consumed during production still contributes notably.</w:t>
      </w:r>
    </w:p>
    <w:bookmarkEnd w:id="40"/>
    <w:bookmarkStart w:id="41" w:name="reliability-and-limitations"/>
    <w:p>
      <w:pPr>
        <w:pStyle w:val="Heading3"/>
      </w:pPr>
      <w:r>
        <w:t xml:space="preserve">Reliability and Limitations</w:t>
      </w:r>
    </w:p>
    <w:p>
      <w:pPr>
        <w:pStyle w:val="FirstParagraph"/>
      </w:pPr>
      <w:r>
        <w:t xml:space="preserve">The reliability of this PCF is high due to the adherence to GHG Protocol standards and the use of specific data where provided. However, some limitations exist:</w:t>
      </w:r>
    </w:p>
    <w:p>
      <w:pPr>
        <w:numPr>
          <w:ilvl w:val="0"/>
          <w:numId w:val="1012"/>
        </w:numPr>
        <w:pStyle w:val="Compact"/>
      </w:pPr>
      <w:r>
        <w:rPr>
          <w:bCs/>
          <w:b/>
        </w:rPr>
        <w:t xml:space="preserve">Emission Factor Assumptions:</w:t>
      </w:r>
      <w:r>
        <w:t xml:space="preserve"> </w:t>
      </w:r>
      <w:r>
        <w:t xml:space="preserve">Generic industry-average emission factors (e.g., for China electricity grid mix, road freight, parcel post) were used where specific supplier-provided data was unavailable. While sourced from reputable databases, these may not perfectly reflect upqufrqsfx\'s specific supply chain or operational efficiencies.</w:t>
      </w:r>
    </w:p>
    <w:p>
      <w:pPr>
        <w:numPr>
          <w:ilvl w:val="0"/>
          <w:numId w:val="1012"/>
        </w:numPr>
        <w:pStyle w:val="Compact"/>
      </w:pPr>
      <w:r>
        <w:rPr>
          <w:bCs/>
          <w:b/>
        </w:rPr>
        <w:t xml:space="preserve">LSR Standard Application:</w:t>
      </w:r>
      <w:r>
        <w:t xml:space="preserve"> </w:t>
      </w:r>
      <w:r>
        <w:t xml:space="preserve">The 2026 Land Sector and Removals (LSR) Standard is acknowledged. While land use changes and carbon removals are conceptually included in the GHG Protocol framework, specific data points for these aspects were not provided and therefore not quantified in detail in this report. Further analysis would require specific land-use change data associated with raw material sourcing.</w:t>
      </w:r>
    </w:p>
    <w:p>
      <w:pPr>
        <w:numPr>
          <w:ilvl w:val="0"/>
          <w:numId w:val="1012"/>
        </w:numPr>
        <w:pStyle w:val="Compact"/>
      </w:pPr>
      <w:r>
        <w:rPr>
          <w:bCs/>
          <w:b/>
        </w:rPr>
        <w:t xml:space="preserve">End-of-Life Simplification:</w:t>
      </w:r>
      <w:r>
        <w:t xml:space="preserve"> </w:t>
      </w:r>
      <w:r>
        <w:t xml:space="preserve">The avoided emissions from recycling are a simplified approach. A more detailed LCA might consider specific EoL treatment processes (e.g., energy recovery from incineration, specific landfill emissions for non-recyclable fractions). The presence of a "Established take-back program for material recovery" suggests good practice, but its specific impact beyond material recycling avoidance would require more granular data.</w:t>
      </w:r>
    </w:p>
    <w:p>
      <w:pPr>
        <w:numPr>
          <w:ilvl w:val="0"/>
          <w:numId w:val="1012"/>
        </w:numPr>
        <w:pStyle w:val="Compact"/>
      </w:pPr>
      <w:r>
        <w:rPr>
          <w:bCs/>
          <w:b/>
        </w:rPr>
        <w:t xml:space="preserve">Generic Transport &amp; Delivery Data:</w:t>
      </w:r>
      <w:r>
        <w:t xml:space="preserve"> </w:t>
      </w:r>
      <w:r>
        <w:t xml:space="preserve">While a distance was provided, the "Select Mode" and "Delivery Type" were interpreted as generic modes. More granular data on vehicle types, fuel consumption, and load factors would enhance accuracy.</w:t>
      </w:r>
    </w:p>
    <w:bookmarkEnd w:id="41"/>
    <w:bookmarkStart w:id="42" w:name="recommendations-for-decarbonization"/>
    <w:p>
      <w:pPr>
        <w:pStyle w:val="Heading3"/>
      </w:pPr>
      <w:r>
        <w:t xml:space="preserve">Recommendations for Decarbonization</w:t>
      </w:r>
    </w:p>
    <w:p>
      <w:pPr>
        <w:numPr>
          <w:ilvl w:val="0"/>
          <w:numId w:val="1013"/>
        </w:numPr>
        <w:pStyle w:val="Compact"/>
      </w:pPr>
      <w:r>
        <w:rPr>
          <w:bCs/>
          <w:b/>
        </w:rPr>
        <w:t xml:space="preserve">Address Use Phase Emissions:</w:t>
      </w:r>
      <w:r>
        <w:t xml:space="preserve"> </w:t>
      </w:r>
      <w:r>
        <w:t xml:space="preserve">Prioritize efforts to reduce product energy consumption during the use phase. This could involve design for energy efficiency, promoting renewable energy usage by consumers, or exploring alternative power sources.</w:t>
      </w:r>
    </w:p>
    <w:p>
      <w:pPr>
        <w:numPr>
          <w:ilvl w:val="0"/>
          <w:numId w:val="1013"/>
        </w:numPr>
        <w:pStyle w:val="Compact"/>
      </w:pPr>
      <w:r>
        <w:rPr>
          <w:bCs/>
          <w:b/>
        </w:rPr>
        <w:t xml:space="preserve">Optimize Material Choices:</w:t>
      </w:r>
      <w:r>
        <w:t xml:space="preserve"> </w:t>
      </w:r>
      <w:r>
        <w:t xml:space="preserve">Investigate opportunities for using lower-carbon materials, increasing recycled content, or exploring bio-based alternatives for components like Aluminum Alloy and ABS Plastic.</w:t>
      </w:r>
    </w:p>
    <w:p>
      <w:pPr>
        <w:numPr>
          <w:ilvl w:val="0"/>
          <w:numId w:val="1013"/>
        </w:numPr>
        <w:pStyle w:val="Compact"/>
      </w:pPr>
      <w:r>
        <w:rPr>
          <w:bCs/>
          <w:b/>
        </w:rPr>
        <w:t xml:space="preserve">Enhance Manufacturing Efficiency:</w:t>
      </w:r>
      <w:r>
        <w:t xml:space="preserve"> </w:t>
      </w:r>
      <w:r>
        <w:t xml:space="preserve">Continue to increase renewable energy penetration in manufacturing operations and explore process optimizations to reduce overall energy intensity.</w:t>
      </w:r>
    </w:p>
    <w:p>
      <w:pPr>
        <w:numPr>
          <w:ilvl w:val="0"/>
          <w:numId w:val="1013"/>
        </w:numPr>
        <w:pStyle w:val="Compact"/>
      </w:pPr>
      <w:r>
        <w:rPr>
          <w:bCs/>
          <w:b/>
        </w:rPr>
        <w:t xml:space="preserve">Strengthen Circular Economy Initiatives:</w:t>
      </w:r>
      <w:r>
        <w:t xml:space="preserve"> </w:t>
      </w:r>
      <w:r>
        <w:t xml:space="preserve">Further develop and quantify the impact of take-back and circular programs to maximize material recovery and minimize virgin material demand.</w:t>
      </w:r>
    </w:p>
    <w:p>
      <w:r>
        <w:pict>
          <v:rect style="width:0;height:1.5pt" o:hralign="center" o:hrstd="t" o:hr="t"/>
        </w:pic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nxegwtulkl</dc:title>
  <dc:creator/>
  <dc:description>Detailed Product Carbon Footprint (PCF) analysis report for nxegwtulkl, adhering to GHG Protocol standards and 2026 LSR updates, prepared by Senior Sustainability Consultant nyglplmgtl for upqufrqsfx.</dc:description>
  <dc:language>en</dc:language>
  <cp:keywords/>
  <dcterms:created xsi:type="dcterms:W3CDTF">2026-05-30T11:30:41Z</dcterms:created>
  <dcterms:modified xsi:type="dcterms:W3CDTF">2026-05-30T11:30:41Z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