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nwnzdzydsg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nwnzdzydsg</w:t>
      </w:r>
    </w:p>
    <w:p>
      <w:pPr>
        <w:pStyle w:val="BodyText"/>
      </w:pPr>
      <w:r>
        <w:rPr>
          <w:bCs/>
          <w:b/>
        </w:rPr>
        <w:t xml:space="preserve">Company Name:</w:t>
      </w:r>
      <w:r>
        <w:t xml:space="preserve"> </w:t>
      </w:r>
      <w:r>
        <w:t xml:space="preserve">outzwefdmj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lxfkkwlzlo</w:t>
      </w:r>
    </w:p>
    <w:p>
      <w:pPr>
        <w:pStyle w:val="BodyText"/>
      </w:pPr>
      <w:r>
        <w:t xml:space="preserve">Disclaimer: This report is generated based on available data and industry standards, providing an estimate of the product\'s carbon footprint. Actual emissions may vary based on real-world conditions and further granular data.</w:t>
      </w:r>
    </w:p>
    <w:bookmarkEnd w:id="20"/>
    <w:bookmarkStart w:id="21" w:name="X3031cada1cd7880269011149f862b1988385634"/>
    <w:p>
      <w:pPr>
        <w:pStyle w:val="Heading1"/>
      </w:pPr>
      <w:r>
        <w:t xml:space="preserve">Product Carbon Footprint Analysis for nwnzdzydsg</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\'nwnzdzydsg\', manufactured by \'outzwefdmj\'. The analysis has been conducted by Senior Sustainability Consultant \'lxfkkwlzlo\' following the Greenhouse Gas (GHG) Protocol standards, with specific attention to the upcoming 2026 Land Sector and Removals (LSR) Standard update and stringent Scope 3 reporting requirements. The objective is to quantify the total greenhouse gas emissions across the product\'s lifecycle, identify key emission hotspots, and provide a foundation for targeted decarbonization strategies. The findings indicate that while materials and manufacturing contribute significantly, the use phase and end-of-life scenarios also play crucial roles in the overall environmental impact.</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for \'nwnzdzydsg\' adheres strictly to the GHG Protocol\'s Product Standard, which provides a comprehensive framework for measuring and reporting the GHG emissions associated with a product\'s lifecycle. The methodology is structured into five key steps:</w:t>
      </w:r>
    </w:p>
    <w:p>
      <w:pPr>
        <w:numPr>
          <w:ilvl w:val="0"/>
          <w:numId w:val="1001"/>
        </w:numPr>
        <w:pStyle w:val="Heading3"/>
      </w:pPr>
      <w:bookmarkStart w:id="23" w:name="define-scope"/>
      <w:r>
        <w:t xml:space="preserve">2.1. Define Scope</w:t>
      </w:r>
      <w:bookmarkEnd w:id="23"/>
    </w:p>
    <w:p>
      <w:pPr>
        <w:numPr>
          <w:ilvl w:val="1"/>
          <w:numId w:val="1002"/>
        </w:numPr>
        <w:pStyle w:val="Compact"/>
      </w:pPr>
      <w:r>
        <w:rPr>
          <w:bCs/>
          <w:b/>
        </w:rPr>
        <w:t xml:space="preserve">Functional Unit:</w:t>
      </w:r>
      <w:r>
        <w:t xml:space="preserve"> </w:t>
      </w:r>
      <w:r>
        <w:t xml:space="preserve">The reference unit for this analysis is 1.0 unit of \'nwnzdzydsg\', ensuring comparability and consistency.</w:t>
      </w:r>
    </w:p>
    <w:p>
      <w:pPr>
        <w:numPr>
          <w:ilvl w:val="1"/>
          <w:numId w:val="1002"/>
        </w:numPr>
        <w:pStyle w:val="Compact"/>
      </w:pPr>
      <w:r>
        <w:rPr>
          <w:bCs/>
          <w:b/>
        </w:rPr>
        <w:t xml:space="preserve">System Boundary:</w:t>
      </w:r>
      <w:r>
        <w:t xml:space="preserve"> </w:t>
      </w:r>
      <w:r>
        <w:t xml:space="preserve">This analysis employs a \'cradle-to-gate\' approach, extending to the \'factory_gate\' as specified. However, to provide a holistic view and meet the user\'s requirements, downstream phases (transport to customer, use phase, and end-of-life) are also included, effectively making it a \'cradle-to-grave\' analysis in practice, with a specific focus on the \'factory_gate\' for the core manufacturing assessment.</w:t>
      </w:r>
    </w:p>
    <w:p>
      <w:pPr>
        <w:numPr>
          <w:ilvl w:val="1"/>
          <w:numId w:val="1002"/>
        </w:numPr>
        <w:pStyle w:val="Compact"/>
      </w:pPr>
      <w:r>
        <w:rPr>
          <w:bCs/>
          <w:b/>
        </w:rPr>
        <w:t xml:space="preserve">Geographic Scope:</w:t>
      </w:r>
    </w:p>
    <w:p>
      <w:pPr>
        <w:numPr>
          <w:ilvl w:val="2"/>
          <w:numId w:val="1003"/>
        </w:numPr>
        <w:pStyle w:val="Compact"/>
      </w:pPr>
      <w:r>
        <w:t xml:space="preserve">Final Production Country: China</w:t>
      </w:r>
    </w:p>
    <w:p>
      <w:pPr>
        <w:numPr>
          <w:ilvl w:val="2"/>
          <w:numId w:val="1003"/>
        </w:numPr>
        <w:pStyle w:val="Compact"/>
      </w:pPr>
      <w:r>
        <w:t xml:space="preserve">Supply Chain Focus: Europe Focused</w:t>
      </w:r>
    </w:p>
    <w:p>
      <w:pPr>
        <w:numPr>
          <w:ilvl w:val="1"/>
          <w:numId w:val="1002"/>
        </w:numPr>
        <w:pStyle w:val="Compact"/>
      </w:pPr>
      <w:r>
        <w:rPr>
          <w:bCs/>
          <w:b/>
        </w:rPr>
        <w:t xml:space="preserve">Accounting Standard:</w:t>
      </w:r>
      <w:r>
        <w:t xml:space="preserve"> </w:t>
      </w:r>
      <w:r>
        <w:t xml:space="preserve">The Greenhouse Gas (GHG) Protocol Product Standard. Emissions are categorized into Scope 1 (direct emissions from owned or controlled sources), Scope 2 (indirect emissions from purchased electricity, heat, or steam), and Scope 3 (all other indirect emissions in the value chain, both upstream and downstream).</w:t>
      </w:r>
    </w:p>
    <w:p>
      <w:pPr>
        <w:numPr>
          <w:ilvl w:val="1"/>
          <w:numId w:val="1002"/>
        </w:numPr>
        <w:pStyle w:val="Compact"/>
      </w:pPr>
      <w:r>
        <w:rPr>
          <w:bCs/>
          <w:b/>
        </w:rPr>
        <w:t xml:space="preserve">Allocation:</w:t>
      </w:r>
      <w:r>
        <w:t xml:space="preserve"> </w:t>
      </w:r>
      <w:r>
        <w:t xml:space="preserve">Emissions are allocated directly to the product based on mass and energy consumption during production and relevant lifecycle stages.</w:t>
      </w:r>
    </w:p>
    <w:p>
      <w:pPr>
        <w:numPr>
          <w:ilvl w:val="0"/>
          <w:numId w:val="1001"/>
        </w:numPr>
        <w:pStyle w:val="Heading3"/>
      </w:pPr>
      <w:bookmarkStart w:id="24" w:name="map-lifecycle-lci-inventory-stages"/>
      <w:r>
        <w:t xml:space="preserve">2.2. Map Lifecycle (LCI Inventory Stages)</w:t>
      </w:r>
      <w:bookmarkEnd w:id="24"/>
    </w:p>
    <w:p>
      <w:pPr>
        <w:numPr>
          <w:ilvl w:val="0"/>
          <w:numId w:val="1000"/>
        </w:numPr>
      </w:pPr>
      <w:r>
        <w:t xml:space="preserve">The lifecycle of \'nwnzdzydsg\' is mapped across the following stages, each contributing to the overall carbon footprint:</w:t>
      </w:r>
    </w:p>
    <w:p>
      <w:pPr>
        <w:numPr>
          <w:ilvl w:val="1"/>
          <w:numId w:val="1004"/>
        </w:numPr>
        <w:pStyle w:val="Compact"/>
      </w:pPr>
      <w:r>
        <w:rPr>
          <w:bCs/>
          <w:b/>
        </w:rPr>
        <w:t xml:space="preserve">Materials Acquisition &amp; Pre-processing:</w:t>
      </w:r>
      <w:r>
        <w:t xml:space="preserve"> </w:t>
      </w:r>
      <w:r>
        <w:t xml:space="preserve">Extraction, production, and processing of raw materials. (Scope 3 - Upstream: Purchased Goods and Services)</w:t>
      </w:r>
    </w:p>
    <w:p>
      <w:pPr>
        <w:numPr>
          <w:ilvl w:val="1"/>
          <w:numId w:val="1004"/>
        </w:numPr>
        <w:pStyle w:val="Compact"/>
      </w:pPr>
      <w:r>
        <w:rPr>
          <w:bCs/>
          <w:b/>
        </w:rPr>
        <w:t xml:space="preserve">Manufacturing:</w:t>
      </w:r>
      <w:r>
        <w:t xml:space="preserve"> </w:t>
      </w:r>
      <w:r>
        <w:t xml:space="preserve">Production processes at \'outzwefdmj\' facilities. (Scope 1 &amp; 2)</w:t>
      </w:r>
    </w:p>
    <w:p>
      <w:pPr>
        <w:numPr>
          <w:ilvl w:val="1"/>
          <w:numId w:val="1004"/>
        </w:numPr>
        <w:pStyle w:val="Compact"/>
      </w:pPr>
      <w:r>
        <w:rPr>
          <w:bCs/>
          <w:b/>
        </w:rPr>
        <w:t xml:space="preserve">Transport:</w:t>
      </w:r>
      <w:r>
        <w:t xml:space="preserve"> </w:t>
      </w:r>
      <w:r>
        <w:t xml:space="preserve">Inbound logistics of materials and outbound logistics of the finished product. (Scope 3 - Upstream &amp; Downstream: Transportation and Distribution)</w:t>
      </w:r>
    </w:p>
    <w:p>
      <w:pPr>
        <w:numPr>
          <w:ilvl w:val="1"/>
          <w:numId w:val="1004"/>
        </w:numPr>
        <w:pStyle w:val="Compact"/>
      </w:pPr>
      <w:r>
        <w:rPr>
          <w:bCs/>
          <w:b/>
        </w:rPr>
        <w:t xml:space="preserve">Use Phase:</w:t>
      </w:r>
      <w:r>
        <w:t xml:space="preserve"> </w:t>
      </w:r>
      <w:r>
        <w:t xml:space="preserve">Energy consumption and other impacts during the product\'s operational life. (Scope 3 - Downstream: Use of Sold Products)</w:t>
      </w:r>
    </w:p>
    <w:p>
      <w:pPr>
        <w:numPr>
          <w:ilvl w:val="1"/>
          <w:numId w:val="1004"/>
        </w:numPr>
        <w:pStyle w:val="Compact"/>
      </w:pPr>
      <w:r>
        <w:rPr>
          <w:bCs/>
          <w:b/>
        </w:rPr>
        <w:t xml:space="preserve">End-of-Life (EoL):</w:t>
      </w:r>
      <w:r>
        <w:t xml:space="preserve"> </w:t>
      </w:r>
      <w:r>
        <w:t xml:space="preserve">Disposal, recycling, and recovery processes. (Scope 3 - Downstream: End-of-Life Treatment of Sold Products)</w:t>
      </w:r>
    </w:p>
    <w:p>
      <w:pPr>
        <w:numPr>
          <w:ilvl w:val="0"/>
          <w:numId w:val="1001"/>
        </w:numPr>
        <w:pStyle w:val="Heading3"/>
      </w:pPr>
      <w:bookmarkStart w:id="25" w:name="Xb57f50a89bf1f3f1837369be949d9d60d6c1272"/>
      <w:r>
        <w:t xml:space="preserve">2.3. Collect Data (Primary/Secondary Data Points)</w:t>
      </w:r>
      <w:bookmarkEnd w:id="25"/>
    </w:p>
    <w:p>
      <w:pPr>
        <w:numPr>
          <w:ilvl w:val="0"/>
          <w:numId w:val="1000"/>
        </w:numPr>
      </w:pPr>
      <w:r>
        <w:t xml:space="preserve">Data collection focuses on obtaining high-accuracy primary data where available, complemented by secondary data from reputable databases for generic processes and emission factors.</w:t>
      </w:r>
    </w:p>
    <w:p>
      <w:pPr>
        <w:numPr>
          <w:ilvl w:val="1"/>
          <w:numId w:val="1005"/>
        </w:numPr>
        <w:pStyle w:val="Compact"/>
      </w:pPr>
      <w:r>
        <w:rPr>
          <w:bCs/>
          <w:b/>
        </w:rPr>
        <w:t xml:space="preserve">Primary Data:</w:t>
      </w:r>
    </w:p>
    <w:p>
      <w:pPr>
        <w:numPr>
          <w:ilvl w:val="2"/>
          <w:numId w:val="1006"/>
        </w:numPr>
        <w:pStyle w:val="Compact"/>
      </w:pPr>
      <w:r>
        <w:t xml:space="preserve">Detailed Bill of Materials (BOM):</w:t>
      </w:r>
      <w:r>
        <w:t xml:space="preserve"> </w:t>
      </w:r>
      <w:r>
        <w:rPr>
          <w:rStyle w:val="VerbatimChar"/>
        </w:rPr>
        <w:t xml:space="preserve">dvrvluoh</w:t>
      </w:r>
      <w:r>
        <w:t xml:space="preserve"> </w:t>
      </w:r>
      <w:r>
        <w:t xml:space="preserve">(specific material quantities and their associated emissions).</w:t>
      </w:r>
    </w:p>
    <w:p>
      <w:pPr>
        <w:numPr>
          <w:ilvl w:val="2"/>
          <w:numId w:val="1006"/>
        </w:numPr>
        <w:pStyle w:val="Compact"/>
      </w:pPr>
      <w:r>
        <w:t xml:space="preserve">Energy Intensity:</w:t>
      </w:r>
      <w:r>
        <w:t xml:space="preserve"> </w:t>
      </w:r>
      <w:r>
        <w:rPr>
          <w:rStyle w:val="VerbatimChar"/>
        </w:rPr>
        <w:t xml:space="preserve">mepnhiklqr</w:t>
      </w:r>
      <w:r>
        <w:t xml:space="preserve"> </w:t>
      </w:r>
      <w:r>
        <w:t xml:space="preserve">(kWh/unit) for the manufacturing process.</w:t>
      </w:r>
    </w:p>
    <w:p>
      <w:pPr>
        <w:numPr>
          <w:ilvl w:val="2"/>
          <w:numId w:val="1006"/>
        </w:numPr>
        <w:pStyle w:val="Compact"/>
      </w:pPr>
      <w:r>
        <w:t xml:space="preserve">Renewable Energy Usage:</w:t>
      </w:r>
      <w:r>
        <w:t xml:space="preserve"> </w:t>
      </w:r>
      <w:r>
        <w:rPr>
          <w:rStyle w:val="VerbatimChar"/>
        </w:rPr>
        <w:t xml:space="preserve">lufuuomsew</w:t>
      </w:r>
      <w:r>
        <w:t xml:space="preserve"> </w:t>
      </w:r>
      <w:r>
        <w:t xml:space="preserve">at production facilities.</w:t>
      </w:r>
    </w:p>
    <w:p>
      <w:pPr>
        <w:numPr>
          <w:ilvl w:val="2"/>
          <w:numId w:val="1006"/>
        </w:numPr>
        <w:pStyle w:val="Compact"/>
      </w:pPr>
      <w:r>
        <w:t xml:space="preserve">Product Lifespan:</w:t>
      </w:r>
      <w:r>
        <w:t xml:space="preserve"> </w:t>
      </w:r>
      <w:r>
        <w:rPr>
          <w:rStyle w:val="VerbatimChar"/>
        </w:rPr>
        <w:t xml:space="preserve">uoesuyxzmn</w:t>
      </w:r>
      <w:r>
        <w:t xml:space="preserve">.</w:t>
      </w:r>
    </w:p>
    <w:p>
      <w:pPr>
        <w:numPr>
          <w:ilvl w:val="2"/>
          <w:numId w:val="1006"/>
        </w:numPr>
        <w:pStyle w:val="Compact"/>
      </w:pPr>
      <w:r>
        <w:t xml:space="preserve">Energy Consumption in Use:</w:t>
      </w:r>
      <w:r>
        <w:t xml:space="preserve"> </w:t>
      </w:r>
      <w:r>
        <w:rPr>
          <w:rStyle w:val="VerbatimChar"/>
        </w:rPr>
        <w:t xml:space="preserve">xvjplzsomm</w:t>
      </w:r>
      <w:r>
        <w:t xml:space="preserve">.</w:t>
      </w:r>
    </w:p>
    <w:p>
      <w:pPr>
        <w:numPr>
          <w:ilvl w:val="2"/>
          <w:numId w:val="1006"/>
        </w:numPr>
        <w:pStyle w:val="Compact"/>
      </w:pPr>
      <w:r>
        <w:t xml:space="preserve">Recyclability Percentage:</w:t>
      </w:r>
      <w:r>
        <w:t xml:space="preserve"> </w:t>
      </w:r>
      <w:r>
        <w:rPr>
          <w:rStyle w:val="VerbatimChar"/>
        </w:rPr>
        <w:t xml:space="preserve">fsmigjnzpu</w:t>
      </w:r>
      <w:r>
        <w:t xml:space="preserve">.</w:t>
      </w:r>
    </w:p>
    <w:p>
      <w:pPr>
        <w:numPr>
          <w:ilvl w:val="2"/>
          <w:numId w:val="1006"/>
        </w:numPr>
        <w:pStyle w:val="Compact"/>
      </w:pPr>
      <w:r>
        <w:t xml:space="preserve">Circular/Take-back Programs:</w:t>
      </w:r>
      <w:r>
        <w:t xml:space="preserve"> </w:t>
      </w:r>
      <w:r>
        <w:rPr>
          <w:rStyle w:val="VerbatimChar"/>
        </w:rPr>
        <w:t xml:space="preserve">hurhvwzviv</w:t>
      </w:r>
      <w:r>
        <w:t xml:space="preserve">.</w:t>
      </w:r>
    </w:p>
    <w:p>
      <w:pPr>
        <w:numPr>
          <w:ilvl w:val="1"/>
          <w:numId w:val="1005"/>
        </w:numPr>
        <w:pStyle w:val="Compact"/>
      </w:pPr>
      <w:r>
        <w:rPr>
          <w:bCs/>
          <w:b/>
        </w:rPr>
        <w:t xml:space="preserve">Secondary Data:</w:t>
      </w:r>
      <w:r>
        <w:t xml:space="preserve"> </w:t>
      </w:r>
      <w:r>
        <w:t xml:space="preserve">Industry-standard emission factors from databases like Ecoinvent and DEFRA are utilized for processes lacking primary data, such as generic material production (where not specified in BOM), transport modes, and grid electricity mixes.</w:t>
      </w:r>
    </w:p>
    <w:p>
      <w:pPr>
        <w:numPr>
          <w:ilvl w:val="0"/>
          <w:numId w:val="1001"/>
        </w:numPr>
        <w:pStyle w:val="Heading3"/>
      </w:pPr>
      <w:bookmarkStart w:id="26" w:name="Xb404f6bea4a0013006ec7a9103609d9ea6643c1"/>
      <w:r>
        <w:t xml:space="preserve">2.4. Calculate Emissions (Activity * Emission Factor = CO2e)</w:t>
      </w:r>
      <w:bookmarkEnd w:id="26"/>
    </w:p>
    <w:p>
      <w:pPr>
        <w:numPr>
          <w:ilvl w:val="0"/>
          <w:numId w:val="1000"/>
        </w:numPr>
      </w:pPr>
      <w:r>
        <w:t xml:space="preserve">Emissions for each lifecycle stage are calculated by multiplying the activity data (e.g., kg of material, kWh of energy, tkm of transport) by the corresponding emission factor (CO2e per unit of activity). The results are expressed in kilograms of carbon dioxide equivalent (kg CO2e). Global Warming Potential (GWP) values from IPCC are applied to convert non-CO2 greenhouse gases into CO2e.</w:t>
      </w:r>
    </w:p>
    <w:p>
      <w:pPr>
        <w:numPr>
          <w:ilvl w:val="0"/>
          <w:numId w:val="1001"/>
        </w:numPr>
        <w:pStyle w:val="Heading3"/>
      </w:pPr>
      <w:bookmarkStart w:id="27" w:name="review-report-hotspots-and-reliability"/>
      <w:r>
        <w:t xml:space="preserve">2.5. Review &amp; Report (Hotspots and Reliability)</w:t>
      </w:r>
      <w:bookmarkEnd w:id="27"/>
    </w:p>
    <w:p>
      <w:pPr>
        <w:numPr>
          <w:ilvl w:val="0"/>
          <w:numId w:val="1000"/>
        </w:numPr>
      </w:pPr>
      <w:r>
        <w:t xml:space="preserve">The calculated PCF is reviewed for accuracy and completeness. Hotspots (stages with the highest emissions) are identified, and data reliability is assessed. The report concludes with recommendations for emission reduction.</w:t>
      </w:r>
    </w:p>
    <w:p>
      <w:r>
        <w:pict>
          <v:rect style="width:0;height:1.5pt" o:hralign="center" o:hrstd="t" o:hr="t"/>
        </w:pict>
      </w:r>
    </w:p>
    <w:bookmarkEnd w:id="28"/>
    <w:bookmarkStart w:id="34" w:name="X9cef48d186bddb4863c51f09a172c9629e90d7d"/>
    <w:p>
      <w:pPr>
        <w:pStyle w:val="Heading2"/>
      </w:pPr>
      <w:r>
        <w:t xml:space="preserve">3. Detailed Product Carbon Footprint Analysis for nwnzdzydsg</w:t>
      </w:r>
    </w:p>
    <w:bookmarkStart w:id="29" w:name="X1198c8af25dd1a2ebffa686809674f976343a37"/>
    <w:p>
      <w:pPr>
        <w:pStyle w:val="Heading3"/>
      </w:pPr>
      <w:r>
        <w:t xml:space="preserve">3.1. Material Acquisition &amp; Pre-processing (Scope 3 - Upstream)</w:t>
      </w:r>
    </w:p>
    <w:p>
      <w:pPr>
        <w:pStyle w:val="FirstParagraph"/>
      </w:pPr>
      <w:r>
        <w:t xml:space="preserve">This stage accounts for the emissions associated with the extraction, processing, and manufacturing of all raw materials and components used in \'nwnzdzydsg\'. The detailed Bill of Materials (BOM) provided,</w:t>
      </w:r>
      <w:r>
        <w:t xml:space="preserve"> </w:t>
      </w:r>
      <w:r>
        <w:rPr>
          <w:rStyle w:val="VerbatimChar"/>
        </w:rPr>
        <w:t xml:space="preserve">dvrvluoh</w:t>
      </w:r>
      <w:r>
        <w:t xml:space="preserve">, is used for high-accuracy material impact calculation.</w:t>
      </w:r>
    </w:p>
    <w:p>
      <w:pPr>
        <w:pStyle w:val="BodyText"/>
      </w:pPr>
      <w:r>
        <w:rPr>
          <w:iCs/>
          <w:i/>
        </w:rPr>
        <w:t xml:space="preserve">Note: The following BOM data and emission factors are illustrative examples based on the provided format (</w:t>
      </w:r>
      <w:r>
        <w:rPr>
          <w:rStyle w:val="VerbatimChar"/>
          <w:iCs/>
          <w:i/>
        </w:rPr>
        <w:t xml:space="preserve">ID, Description, Category, Process, Qty, Unit, Emission Factor, Total Carbon</w:t>
      </w:r>
      <w:r>
        <w:rPr>
          <w:iCs/>
          <w:i/>
        </w:rPr>
        <w:t xml:space="preserve">) to demonstrate the calculation methodology. Actual values would be derived from the specific</w:t>
      </w:r>
      <w:r>
        <w:rPr>
          <w:iCs/>
          <w:i/>
        </w:rPr>
        <w:t xml:space="preserve"> </w:t>
      </w:r>
      <w:r>
        <w:rPr>
          <w:rStyle w:val="VerbatimChar"/>
          <w:iCs/>
          <w:i/>
        </w:rPr>
        <w:t xml:space="preserve">dvrvluoh</w:t>
      </w:r>
      <w:r>
        <w:rPr>
          <w:iCs/>
          <w:i/>
        </w:rPr>
        <w:t xml:space="preserve"> </w:t>
      </w:r>
      <w:r>
        <w:rPr>
          <w:iCs/>
          <w:i/>
        </w:rPr>
        <w:t xml:space="preserve">data and referenced emission factor databases. Emission factors are representative of European supply chains where possible.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Emissions from Materials (Illustrative):</w:t>
      </w:r>
      <w:r>
        <w:t xml:space="preserve"> </w:t>
      </w:r>
      <w:r>
        <w:t xml:space="preserve">6.50 kg CO2e</w:t>
      </w:r>
    </w:p>
    <w:bookmarkEnd w:id="29"/>
    <w:bookmarkStart w:id="30" w:name="manufacturing-scope-1-2"/>
    <w:p>
      <w:pPr>
        <w:pStyle w:val="Heading3"/>
      </w:pPr>
      <w:r>
        <w:t xml:space="preserve">3.2. Manufacturing (Scope 1 &amp; 2)</w:t>
      </w:r>
    </w:p>
    <w:p>
      <w:pPr>
        <w:pStyle w:val="FirstParagraph"/>
      </w:pPr>
      <w:r>
        <w:t xml:space="preserve">The manufacturing phase includes emissions from energy consumption at \'outzwefdmj\'s production facility in China. The provided energy intensity and renewable energy usage are critical for this calculation.</w:t>
      </w:r>
    </w:p>
    <w:p>
      <w:pPr>
        <w:numPr>
          <w:ilvl w:val="0"/>
          <w:numId w:val="1007"/>
        </w:numPr>
        <w:pStyle w:val="Compact"/>
      </w:pPr>
      <w:r>
        <w:rPr>
          <w:bCs/>
          <w:b/>
        </w:rPr>
        <w:t xml:space="preserve">Energy Intensity (kWh/unit):</w:t>
      </w:r>
      <w:r>
        <w:t xml:space="preserve"> </w:t>
      </w:r>
      <w:r>
        <w:rPr>
          <w:rStyle w:val="VerbatimChar"/>
        </w:rPr>
        <w:t xml:space="preserve">mepnhiklqr</w:t>
      </w:r>
      <w:r>
        <w:t xml:space="preserve"> </w:t>
      </w:r>
      <w:r>
        <w:t xml:space="preserve">(Illustrative Example: 100 kWh/unit)</w:t>
      </w:r>
    </w:p>
    <w:p>
      <w:pPr>
        <w:numPr>
          <w:ilvl w:val="0"/>
          <w:numId w:val="1007"/>
        </w:numPr>
        <w:pStyle w:val="Compact"/>
      </w:pPr>
      <w:r>
        <w:rPr>
          <w:bCs/>
          <w:b/>
        </w:rPr>
        <w:t xml:space="preserve">Renewable Energy Usage:</w:t>
      </w:r>
      <w:r>
        <w:t xml:space="preserve"> </w:t>
      </w:r>
      <w:r>
        <w:rPr>
          <w:rStyle w:val="VerbatimChar"/>
        </w:rPr>
        <w:t xml:space="preserve">lufuuomsew</w:t>
      </w:r>
      <w:r>
        <w:t xml:space="preserve"> </w:t>
      </w:r>
      <w:r>
        <w:t xml:space="preserve">(Illustrative Example: 75%)</w:t>
      </w:r>
    </w:p>
    <w:p>
      <w:pPr>
        <w:pStyle w:val="FirstParagraph"/>
      </w:pPr>
      <w:r>
        <w:rPr>
          <w:iCs/>
          <w:i/>
        </w:rPr>
        <w:t xml:space="preserve">Note: The following emission factors for electricity are illustrative examples based on a typical grid mix for China and a representative renewable energy source (e.g., wind/solar).</w:t>
      </w:r>
    </w:p>
    <w:p>
      <w:pPr>
        <w:pStyle w:val="BodyText"/>
      </w:pPr>
      <w:r>
        <w:rPr>
          <w:bCs/>
          <w:b/>
        </w:rPr>
        <w:t xml:space="preserve">Illustrative Emission Factors:</w:t>
      </w:r>
    </w:p>
    <w:p>
      <w:pPr>
        <w:numPr>
          <w:ilvl w:val="0"/>
          <w:numId w:val="1008"/>
        </w:numPr>
        <w:pStyle w:val="Compact"/>
      </w:pPr>
      <w:r>
        <w:t xml:space="preserve">Grid Electricity (China average): 0.7 kg CO2e/kWh</w:t>
      </w:r>
    </w:p>
    <w:p>
      <w:pPr>
        <w:numPr>
          <w:ilvl w:val="0"/>
          <w:numId w:val="1008"/>
        </w:numPr>
        <w:pStyle w:val="Compact"/>
      </w:pPr>
      <w:r>
        <w:t xml:space="preserve">Renewable Electricity (e.g., Wind/Solar): 0.03 kg CO2e/kWh</w:t>
      </w:r>
    </w:p>
    <w:p>
      <w:pPr>
        <w:pStyle w:val="FirstParagraph"/>
      </w:pPr>
      <w:r>
        <w:rPr>
          <w:bCs/>
          <w:b/>
        </w:rPr>
        <w:t xml:space="preserve">Calculation (Illustrative):</w:t>
      </w:r>
      <w:r>
        <w:br/>
      </w:r>
      <w:r>
        <w:t xml:space="preserve">Total Energy Consumption: 100 kWh/unit</w:t>
      </w:r>
      <w:r>
        <w:br/>
      </w:r>
      <w:r>
        <w:t xml:space="preserve">Renewable Energy Portion: 100 kWh * 75% = 75 kWh</w:t>
      </w:r>
      <w:r>
        <w:br/>
      </w:r>
      <w:r>
        <w:t xml:space="preserve">Grid Energy Portion: 100 kWh * (1 - 75%) = 25 kWh</w:t>
      </w:r>
      <w:r>
        <w:br/>
      </w:r>
      <w:r>
        <w:br/>
      </w:r>
      <w:r>
        <w:t xml:space="preserve">Emissions from Renewable Energy: 75 kWh * 0.03 kg CO2e/kWh = 2.25 kg CO2e</w:t>
      </w:r>
      <w:r>
        <w:br/>
      </w:r>
      <w:r>
        <w:t xml:space="preserve">Emissions from Grid Energy: 25 kWh * 0.7 kg CO2e/kWh = 17.50 kg CO2e</w:t>
      </w:r>
      <w:r>
        <w:br/>
      </w:r>
      <w:r>
        <w:br/>
      </w:r>
      <w:r>
        <w:rPr>
          <w:bCs/>
          <w:b/>
        </w:rPr>
        <w:t xml:space="preserve">Total Emissions from Manufacturing Energy (Scope 2):</w:t>
      </w:r>
      <w:r>
        <w:t xml:space="preserve"> </w:t>
      </w:r>
      <w:r>
        <w:t xml:space="preserve">19.75 kg CO2e</w:t>
      </w:r>
    </w:p>
    <w:p>
      <w:pPr>
        <w:pStyle w:val="BodyText"/>
      </w:pPr>
      <w:r>
        <w:rPr>
          <w:iCs/>
          <w:i/>
        </w:rPr>
        <w:t xml:space="preserve">(Assuming no direct fuel combustion or fugitive emissions from owned/controlled sources for Scope 1. If such data were available, they would be included here.)</w:t>
      </w:r>
    </w:p>
    <w:bookmarkEnd w:id="30"/>
    <w:bookmarkStart w:id="31" w:name="transport-scope-3---upstream-downstream"/>
    <w:p>
      <w:pPr>
        <w:pStyle w:val="Heading3"/>
      </w:pPr>
      <w:r>
        <w:t xml:space="preserve">3.3. Transport (Scope 3 - Upstream &amp; Downstream)</w:t>
      </w:r>
    </w:p>
    <w:p>
      <w:pPr>
        <w:pStyle w:val="FirstParagraph"/>
      </w:pPr>
      <w:r>
        <w:t xml:space="preserve">This section addresses emissions from transporting materials to the factory (upstream) and distributing the finished product (downstream). The provided logistics data is incorporated.</w:t>
      </w:r>
    </w:p>
    <w:p>
      <w:pPr>
        <w:numPr>
          <w:ilvl w:val="0"/>
          <w:numId w:val="1009"/>
        </w:numPr>
        <w:pStyle w:val="Compact"/>
      </w:pPr>
      <w:r>
        <w:rPr>
          <w:bCs/>
          <w:b/>
        </w:rPr>
        <w:t xml:space="preserve">Main Transport Mode:</w:t>
      </w:r>
      <w:r>
        <w:t xml:space="preserve"> </w:t>
      </w:r>
      <w:r>
        <w:rPr>
          <w:rStyle w:val="VerbatimChar"/>
        </w:rPr>
        <w:t xml:space="preserve">Select Mode</w:t>
      </w:r>
      <w:r>
        <w:t xml:space="preserve"> </w:t>
      </w:r>
      <w:r>
        <w:t xml:space="preserve">(Illustrative Example: Ocean Freight for primary inbound/outbound)</w:t>
      </w:r>
    </w:p>
    <w:p>
      <w:pPr>
        <w:numPr>
          <w:ilvl w:val="0"/>
          <w:numId w:val="1009"/>
        </w:numPr>
        <w:pStyle w:val="Compact"/>
      </w:pPr>
      <w:r>
        <w:rPr>
          <w:bCs/>
          <w:b/>
        </w:rPr>
        <w:t xml:space="preserve">Transport Distance:</w:t>
      </w:r>
      <w:r>
        <w:t xml:space="preserve"> </w:t>
      </w:r>
      <w:r>
        <w:rPr>
          <w:rStyle w:val="VerbatimChar"/>
        </w:rPr>
        <w:t xml:space="preserve">syzvelzitw</w:t>
      </w:r>
      <w:r>
        <w:t xml:space="preserve"> </w:t>
      </w:r>
      <w:r>
        <w:t xml:space="preserve">(Illustrative Example: 15,000 km for ocean freight)</w:t>
      </w:r>
    </w:p>
    <w:p>
      <w:pPr>
        <w:numPr>
          <w:ilvl w:val="0"/>
          <w:numId w:val="1009"/>
        </w:numPr>
        <w:pStyle w:val="Compact"/>
      </w:pPr>
      <w:r>
        <w:rPr>
          <w:bCs/>
          <w:b/>
        </w:rPr>
        <w:t xml:space="preserve">Last-Mile Delivery Channel:</w:t>
      </w:r>
      <w:r>
        <w:t xml:space="preserve"> </w:t>
      </w:r>
      <w:r>
        <w:rPr>
          <w:rStyle w:val="VerbatimChar"/>
        </w:rPr>
        <w:t xml:space="preserve">Delivery Type</w:t>
      </w:r>
      <w:r>
        <w:t xml:space="preserve"> </w:t>
      </w:r>
      <w:r>
        <w:t xml:space="preserve">(Illustrative Example: Road Freight for last mile)</w:t>
      </w:r>
    </w:p>
    <w:p>
      <w:pPr>
        <w:numPr>
          <w:ilvl w:val="0"/>
          <w:numId w:val="1009"/>
        </w:numPr>
        <w:pStyle w:val="Compact"/>
      </w:pPr>
      <w:r>
        <w:rPr>
          <w:bCs/>
          <w:b/>
        </w:rPr>
        <w:t xml:space="preserve">Last-Mile Delivery Distance:</w:t>
      </w:r>
      <w:r>
        <w:t xml:space="preserve"> </w:t>
      </w:r>
      <w:r>
        <w:t xml:space="preserve">(Illustrative Example: 500 km)</w:t>
      </w:r>
    </w:p>
    <w:p>
      <w:pPr>
        <w:pStyle w:val="FirstParagraph"/>
      </w:pPr>
      <w:r>
        <w:rPr>
          <w:iCs/>
          <w:i/>
        </w:rPr>
        <w:t xml:space="preserve">Note: The following emission factors for transport modes are illustrative examples based on industry averages for freight.</w:t>
      </w:r>
    </w:p>
    <w:p>
      <w:pPr>
        <w:pStyle w:val="BodyText"/>
      </w:pPr>
      <w:r>
        <w:rPr>
          <w:bCs/>
          <w:b/>
        </w:rPr>
        <w:t xml:space="preserve">Illustrative Emission Factors for Freight (per tonne-km):</w:t>
      </w:r>
    </w:p>
    <w:p>
      <w:pPr>
        <w:numPr>
          <w:ilvl w:val="0"/>
          <w:numId w:val="1010"/>
        </w:numPr>
        <w:pStyle w:val="Compact"/>
      </w:pPr>
      <w:r>
        <w:t xml:space="preserve">Ocean Freight: 0.01 kg CO2e/tkm</w:t>
      </w:r>
    </w:p>
    <w:p>
      <w:pPr>
        <w:numPr>
          <w:ilvl w:val="0"/>
          <w:numId w:val="1010"/>
        </w:numPr>
        <w:pStyle w:val="Compact"/>
      </w:pPr>
      <w:r>
        <w:t xml:space="preserve">Road Freight (heavy duty truck): 0.1 kg CO2e/tkm</w:t>
      </w:r>
    </w:p>
    <w:p>
      <w:pPr>
        <w:pStyle w:val="FirstParagraph"/>
      </w:pPr>
      <w:r>
        <w:rPr>
          <w:bCs/>
          <w:b/>
        </w:rPr>
        <w:t xml:space="preserve">Assumptions for Calculation (Illustrative):</w:t>
      </w:r>
    </w:p>
    <w:p>
      <w:pPr>
        <w:numPr>
          <w:ilvl w:val="0"/>
          <w:numId w:val="1011"/>
        </w:numPr>
        <w:pStyle w:val="Compact"/>
      </w:pPr>
      <w:r>
        <w:t xml:space="preserve">Product weight: 1.0 kg (from materials section, or actual product weight)</w:t>
      </w:r>
    </w:p>
    <w:p>
      <w:pPr>
        <w:numPr>
          <w:ilvl w:val="0"/>
          <w:numId w:val="1011"/>
        </w:numPr>
        <w:pStyle w:val="Compact"/>
      </w:pPr>
      <w:r>
        <w:t xml:space="preserve">Primary transport (inbound/outbound): 1.0 kg (product weight) * 15,000 km (syzvelzitw) = 15,000 tkm</w:t>
      </w:r>
    </w:p>
    <w:p>
      <w:pPr>
        <w:numPr>
          <w:ilvl w:val="0"/>
          <w:numId w:val="1011"/>
        </w:numPr>
        <w:pStyle w:val="Compact"/>
      </w:pPr>
      <w:r>
        <w:t xml:space="preserve">Last-mile delivery: 1.0 kg (product weight) * 500 km = 500 tkm</w:t>
      </w:r>
    </w:p>
    <w:p>
      <w:pPr>
        <w:pStyle w:val="FirstParagraph"/>
      </w:pPr>
      <w:r>
        <w:rPr>
          <w:bCs/>
          <w:b/>
        </w:rPr>
        <w:t xml:space="preserve">Calculation (Illustrative):</w:t>
      </w:r>
      <w:r>
        <w:br/>
      </w:r>
      <w:r>
        <w:t xml:space="preserve">Emissions from Primary Transport (Ocean Freight): 15,000 tkm * 0.01 kg CO2e/tkm = 150.00 kg CO2e</w:t>
      </w:r>
      <w:r>
        <w:br/>
      </w:r>
      <w:r>
        <w:t xml:space="preserve">Emissions from Last-Mile Delivery (Road Freight): 500 tkm * 0.1 kg CO2e/tkm = 50.00 kg CO2e</w:t>
      </w:r>
      <w:r>
        <w:br/>
      </w:r>
      <w:r>
        <w:br/>
      </w:r>
      <w:r>
        <w:rPr>
          <w:bCs/>
          <w:b/>
        </w:rPr>
        <w:t xml:space="preserve">Total Emissions from Transport (Scope 3):</w:t>
      </w:r>
      <w:r>
        <w:t xml:space="preserve"> </w:t>
      </w:r>
      <w:r>
        <w:t xml:space="preserve">200.00 kg CO2e</w:t>
      </w:r>
    </w:p>
    <w:bookmarkEnd w:id="31"/>
    <w:bookmarkStart w:id="32" w:name="use-phase-scope-3---downstream"/>
    <w:p>
      <w:pPr>
        <w:pStyle w:val="Heading3"/>
      </w:pPr>
      <w:r>
        <w:t xml:space="preserve">3.4. Use Phase (Scope 3 - Downstream)</w:t>
      </w:r>
    </w:p>
    <w:p>
      <w:pPr>
        <w:pStyle w:val="FirstParagraph"/>
      </w:pPr>
      <w:r>
        <w:t xml:space="preserve">The use phase emissions are calculated based on the product\'s lifespan and its energy consumption during use.</w:t>
      </w:r>
    </w:p>
    <w:p>
      <w:pPr>
        <w:numPr>
          <w:ilvl w:val="0"/>
          <w:numId w:val="1012"/>
        </w:numPr>
        <w:pStyle w:val="Compact"/>
      </w:pPr>
      <w:r>
        <w:rPr>
          <w:bCs/>
          <w:b/>
        </w:rPr>
        <w:t xml:space="preserve">Product Lifespan:</w:t>
      </w:r>
      <w:r>
        <w:t xml:space="preserve"> </w:t>
      </w:r>
      <w:r>
        <w:rPr>
          <w:rStyle w:val="VerbatimChar"/>
        </w:rPr>
        <w:t xml:space="preserve">uoesuyxzmn</w:t>
      </w:r>
      <w:r>
        <w:t xml:space="preserve"> </w:t>
      </w:r>
      <w:r>
        <w:t xml:space="preserve">(Illustrative Example: 5 years)</w:t>
      </w:r>
    </w:p>
    <w:p>
      <w:pPr>
        <w:numPr>
          <w:ilvl w:val="0"/>
          <w:numId w:val="1012"/>
        </w:numPr>
        <w:pStyle w:val="Compact"/>
      </w:pPr>
      <w:r>
        <w:rPr>
          <w:bCs/>
          <w:b/>
        </w:rPr>
        <w:t xml:space="preserve">Energy Consumption in Use:</w:t>
      </w:r>
      <w:r>
        <w:t xml:space="preserve"> </w:t>
      </w:r>
      <w:r>
        <w:rPr>
          <w:rStyle w:val="VerbatimChar"/>
        </w:rPr>
        <w:t xml:space="preserve">xvjplzsomm</w:t>
      </w:r>
      <w:r>
        <w:t xml:space="preserve"> </w:t>
      </w:r>
      <w:r>
        <w:t xml:space="preserve">(Illustrative Example: 200 kWh/year)</w:t>
      </w:r>
    </w:p>
    <w:p>
      <w:pPr>
        <w:pStyle w:val="FirstParagraph"/>
      </w:pPr>
      <w:r>
        <w:rPr>
          <w:iCs/>
          <w:i/>
        </w:rPr>
        <w:t xml:space="preserve">Note: The emission factor for electricity during the use phase assumes average grid electricity in Europe, where the product is primarily sold (matching supply chain focus).</w:t>
      </w:r>
    </w:p>
    <w:p>
      <w:pPr>
        <w:pStyle w:val="BodyText"/>
      </w:pPr>
      <w:r>
        <w:rPr>
          <w:bCs/>
          <w:b/>
        </w:rPr>
        <w:t xml:space="preserve">Illustrative Emission Factor for Use Phase Electricity (Europe average):</w:t>
      </w:r>
      <w:r>
        <w:t xml:space="preserve"> </w:t>
      </w:r>
      <w:r>
        <w:t xml:space="preserve">0.3 kg CO2e/kWh</w:t>
      </w:r>
    </w:p>
    <w:p>
      <w:pPr>
        <w:pStyle w:val="BodyText"/>
      </w:pPr>
      <w:r>
        <w:rPr>
          <w:bCs/>
          <w:b/>
        </w:rPr>
        <w:t xml:space="preserve">Calculation (Illustrative):</w:t>
      </w:r>
      <w:r>
        <w:br/>
      </w:r>
      <w:r>
        <w:t xml:space="preserve">Total Energy Consumption over Lifespan: 200 kWh/year * 5 years = 1000 kWh</w:t>
      </w:r>
      <w:r>
        <w:br/>
      </w:r>
      <w:r>
        <w:t xml:space="preserve">Emissions from Use Phase: 1000 kWh * 0.3 kg CO2e/kWh = 300.00 kg CO2e</w:t>
      </w:r>
      <w:r>
        <w:br/>
      </w:r>
      <w:r>
        <w:br/>
      </w:r>
      <w:r>
        <w:rPr>
          <w:bCs/>
          <w:b/>
        </w:rPr>
        <w:t xml:space="preserve">Total Emissions from Use Phase (Scope 3):</w:t>
      </w:r>
      <w:r>
        <w:t xml:space="preserve"> </w:t>
      </w:r>
      <w:r>
        <w:t xml:space="preserve">300.00 kg CO2e</w:t>
      </w:r>
    </w:p>
    <w:bookmarkEnd w:id="32"/>
    <w:bookmarkStart w:id="33" w:name="end-of-life-eol-scope-3---downstream"/>
    <w:p>
      <w:pPr>
        <w:pStyle w:val="Heading3"/>
      </w:pPr>
      <w:r>
        <w:t xml:space="preserve">3.5. End-of-Life (EoL) (Scope 3 - Downstream)</w:t>
      </w:r>
    </w:p>
    <w:p>
      <w:pPr>
        <w:pStyle w:val="FirstParagraph"/>
      </w:pPr>
      <w:r>
        <w:t xml:space="preserve">End-of-life scenarios consider the recyclability of the product and the presence of circular/take-back programs. The 2026 Land Sector and Removals (LSR) Standard is applied here to account for potential carbon removals or avoided emissions due to recycling and other circular economy initiatives.</w:t>
      </w:r>
    </w:p>
    <w:p>
      <w:pPr>
        <w:numPr>
          <w:ilvl w:val="0"/>
          <w:numId w:val="1013"/>
        </w:numPr>
        <w:pStyle w:val="Compact"/>
      </w:pPr>
      <w:r>
        <w:rPr>
          <w:bCs/>
          <w:b/>
        </w:rPr>
        <w:t xml:space="preserve">Recyclability Percentage:</w:t>
      </w:r>
      <w:r>
        <w:t xml:space="preserve"> </w:t>
      </w:r>
      <w:r>
        <w:rPr>
          <w:rStyle w:val="VerbatimChar"/>
        </w:rPr>
        <w:t xml:space="preserve">fsmigjnzpu</w:t>
      </w:r>
      <w:r>
        <w:t xml:space="preserve"> </w:t>
      </w:r>
      <w:r>
        <w:t xml:space="preserve">(Illustrative Example: 70% recyclable)</w:t>
      </w:r>
    </w:p>
    <w:p>
      <w:pPr>
        <w:numPr>
          <w:ilvl w:val="0"/>
          <w:numId w:val="1013"/>
        </w:numPr>
        <w:pStyle w:val="Compact"/>
      </w:pPr>
      <w:r>
        <w:rPr>
          <w:bCs/>
          <w:b/>
        </w:rPr>
        <w:t xml:space="preserve">Circular/Take-back Programs:</w:t>
      </w:r>
      <w:r>
        <w:t xml:space="preserve"> </w:t>
      </w:r>
      <w:r>
        <w:rPr>
          <w:rStyle w:val="VerbatimChar"/>
        </w:rPr>
        <w:t xml:space="preserve">hurhvwzviv</w:t>
      </w:r>
      <w:r>
        <w:t xml:space="preserve"> </w:t>
      </w:r>
      <w:r>
        <w:t xml:space="preserve">(Illustrative Example: Active take-back program for key components)</w:t>
      </w:r>
    </w:p>
    <w:p>
      <w:pPr>
        <w:pStyle w:val="FirstParagraph"/>
      </w:pPr>
      <w:r>
        <w:rPr>
          <w:iCs/>
          <w:i/>
        </w:rPr>
        <w:t xml:space="preserve">Note: Calculations for EoL involve complexities like avoided burden from recycled materials replacing virgin materials. The following is an illustrative example of potential avoided emissions.</w:t>
      </w:r>
    </w:p>
    <w:p>
      <w:pPr>
        <w:pStyle w:val="BodyText"/>
      </w:pPr>
      <w:r>
        <w:rPr>
          <w:bCs/>
          <w:b/>
        </w:rPr>
        <w:t xml:space="preserve">Assumptions for Calculation (Illustrative):</w:t>
      </w:r>
    </w:p>
    <w:p>
      <w:pPr>
        <w:numPr>
          <w:ilvl w:val="0"/>
          <w:numId w:val="1014"/>
        </w:numPr>
        <w:pStyle w:val="Compact"/>
      </w:pPr>
      <w:r>
        <w:t xml:space="preserve">Total material weight: 1.0 kg</w:t>
      </w:r>
    </w:p>
    <w:p>
      <w:pPr>
        <w:numPr>
          <w:ilvl w:val="0"/>
          <w:numId w:val="1014"/>
        </w:numPr>
        <w:pStyle w:val="Compact"/>
      </w:pPr>
      <w:r>
        <w:t xml:space="preserve">Recycled material weight: 1.0 kg * 70% = 0.7 kg</w:t>
      </w:r>
    </w:p>
    <w:p>
      <w:pPr>
        <w:numPr>
          <w:ilvl w:val="0"/>
          <w:numId w:val="1014"/>
        </w:numPr>
        <w:pStyle w:val="Compact"/>
      </w:pPr>
      <w:r>
        <w:t xml:space="preserve">Virgin material avoided emission factor (average): -2.0 kg CO2e/kg (representing the benefit of not producing virgin material)</w:t>
      </w:r>
    </w:p>
    <w:p>
      <w:pPr>
        <w:numPr>
          <w:ilvl w:val="0"/>
          <w:numId w:val="1014"/>
        </w:numPr>
        <w:pStyle w:val="Compact"/>
      </w:pPr>
      <w:r>
        <w:t xml:space="preserve">Disposal emission factor (landfill/incineration for remaining 30%): +1.0 kg CO2e/kg</w:t>
      </w:r>
    </w:p>
    <w:p>
      <w:pPr>
        <w:pStyle w:val="FirstParagraph"/>
      </w:pPr>
      <w:r>
        <w:rPr>
          <w:bCs/>
          <w:b/>
        </w:rPr>
        <w:t xml:space="preserve">Calculation (Illustrative):</w:t>
      </w:r>
      <w:r>
        <w:br/>
      </w:r>
      <w:r>
        <w:t xml:space="preserve">Avoided Emissions from Recycling: 0.7 kg * -2.0 kg CO2e/kg = -1.40 kg CO2e</w:t>
      </w:r>
      <w:r>
        <w:br/>
      </w:r>
      <w:r>
        <w:t xml:space="preserve">Emissions from Disposal: 0.3 kg * 1.0 kg CO2e/kg = 0.30 kg CO2e</w:t>
      </w:r>
      <w:r>
        <w:br/>
      </w:r>
      <w:r>
        <w:br/>
      </w:r>
      <w:r>
        <w:rPr>
          <w:bCs/>
          <w:b/>
        </w:rPr>
        <w:t xml:space="preserve">Net Emissions from End-of-Life (Scope 3):</w:t>
      </w:r>
      <w:r>
        <w:t xml:space="preserve"> </w:t>
      </w:r>
      <w:r>
        <w:t xml:space="preserve">-1.10 kg CO2e (a net credit due to high recyclability and circular programs)</w:t>
      </w:r>
    </w:p>
    <w:p>
      <w:pPr>
        <w:pStyle w:val="BodyText"/>
      </w:pPr>
      <w:r>
        <w:t xml:space="preserve">The integration of the 2026 LSR Standard for land use and carbon removals emphasizes the importance of accurately accounting for the benefits of circularity. For \'nwnzdzydsg\', the</w:t>
      </w:r>
      <w:r>
        <w:t xml:space="preserve"> </w:t>
      </w:r>
      <w:r>
        <w:rPr>
          <w:rStyle w:val="VerbatimChar"/>
        </w:rPr>
        <w:t xml:space="preserve">hurhvwzviv</w:t>
      </w:r>
      <w:r>
        <w:t xml:space="preserve"> </w:t>
      </w:r>
      <w:r>
        <w:t xml:space="preserve">(Active take-back program) ensures that components are valorized, leading to potential carbon removals through material recycling and reuse, which are accounted for as avoided emissions in this analysis.</w:t>
      </w:r>
    </w:p>
    <w:p>
      <w:r>
        <w:pict>
          <v:rect style="width:0;height:1.5pt" o:hralign="center" o:hrstd="t" o:hr="t"/>
        </w:pict>
      </w:r>
    </w:p>
    <w:bookmarkEnd w:id="33"/>
    <w:bookmarkEnd w:id="34"/>
    <w:bookmarkStart w:id="35" w:name="summary-of-product-carbon-footprint"/>
    <w:p>
      <w:pPr>
        <w:pStyle w:val="Heading2"/>
      </w:pPr>
      <w:r>
        <w:t xml:space="preserve">4. Summary of Product Carbon Footprint</w:t>
      </w:r>
    </w:p>
    <w:p>
      <w:pPr>
        <w:pStyle w:val="FirstParagraph"/>
      </w:pPr>
      <w:r>
        <w:t xml:space="preserve">The table below summarizes the illustrative emissions for \'nwnzdzydsg\' across its lifecycle stages, categorized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6.50</w:t>
            </w:r>
          </w:p>
        </w:tc>
        <w:tc>
          <w:tcPr/>
          <w:p>
            <w:pPr>
              <w:pStyle w:val="Compact"/>
              <w:jc w:val="left"/>
            </w:pPr>
            <w:r>
              <w:t xml:space="preserve">1.2%</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19.75</w:t>
            </w:r>
          </w:p>
        </w:tc>
        <w:tc>
          <w:tcPr/>
          <w:p>
            <w:pPr>
              <w:pStyle w:val="Compact"/>
              <w:jc w:val="left"/>
            </w:pPr>
            <w:r>
              <w:t xml:space="preserve">3.8%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200.00</w:t>
            </w:r>
          </w:p>
        </w:tc>
        <w:tc>
          <w:tcPr/>
          <w:p>
            <w:pPr>
              <w:pStyle w:val="Compact"/>
              <w:jc w:val="left"/>
            </w:pPr>
            <w:r>
              <w:t xml:space="preserve">38.1%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300.00</w:t>
            </w:r>
          </w:p>
        </w:tc>
        <w:tc>
          <w:tcPr/>
          <w:p>
            <w:pPr>
              <w:pStyle w:val="Compact"/>
              <w:jc w:val="left"/>
            </w:pPr>
            <w:r>
              <w:t xml:space="preserve">57.1%</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-1.10</w:t>
            </w:r>
          </w:p>
        </w:tc>
        <w:tc>
          <w:tcPr/>
          <w:p>
            <w:pPr>
              <w:pStyle w:val="Compact"/>
              <w:jc w:val="left"/>
            </w:pPr>
            <w:r>
              <w:t xml:space="preserve">-0.2%</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525.15</w:t>
            </w:r>
          </w:p>
        </w:tc>
        <w:tc>
          <w:tcPr/>
          <w:p>
            <w:pPr>
              <w:pStyle w:val="Compact"/>
              <w:jc w:val="left"/>
            </w:pPr>
            <w:r>
              <w:rPr>
                <w:bCs/>
                <w:b/>
              </w:rPr>
              <w:t xml:space="preserve">100.0%</w:t>
            </w:r>
          </w:p>
        </w:tc>
      </w:tr>
    </w:tbl>
    <w:p>
      <w:pPr>
        <w:pStyle w:val="BodyText"/>
      </w:pPr>
      <w:r>
        <w:rPr>
          <w:bCs/>
          <w:b/>
        </w:rPr>
        <w:t xml:space="preserve">Total Product Carbon Footprint for 1.0 unit of nwnzdzydsg:</w:t>
      </w:r>
      <w:r>
        <w:t xml:space="preserve"> </w:t>
      </w:r>
      <w:r>
        <w:t xml:space="preserve">525.15 kg CO2e (Illustrative)</w:t>
      </w:r>
    </w:p>
    <w:p>
      <w:pPr>
        <w:pStyle w:val="BodyText"/>
      </w:pPr>
      <w:r>
        <w:rPr>
          <w:iCs/>
          <w:i/>
        </w:rPr>
        <w:t xml:space="preserve">This illustrative PCF demonstrates that Scope 3 emissions (including materials, transport, use phase, and end-of-life) account for approximately 96.2% of the total carbon footprint, ensuring compliance with the 2026 requirement of at least 95% coverage for Scope 3 reporting. The negative contribution from End-of-Life reflects the benefits of recycling and circular programs.</w:t>
      </w:r>
    </w:p>
    <w:p>
      <w:r>
        <w:pict>
          <v:rect style="width:0;height:1.5pt" o:hralign="center" o:hrstd="t" o:hr="t"/>
        </w:pict>
      </w:r>
    </w:p>
    <w:bookmarkEnd w:id="35"/>
    <w:bookmarkStart w:id="38" w:name="hotspots-and-recommendations"/>
    <w:p>
      <w:pPr>
        <w:pStyle w:val="Heading2"/>
      </w:pPr>
      <w:r>
        <w:t xml:space="preserve">5. Hotspots and Recommendations</w:t>
      </w:r>
    </w:p>
    <w:bookmarkStart w:id="36" w:name="hotspots-identified-illustrative"/>
    <w:p>
      <w:pPr>
        <w:pStyle w:val="Heading3"/>
      </w:pPr>
      <w:r>
        <w:t xml:space="preserve">5.1. Hotspots Identified (Illustrative)</w:t>
      </w:r>
    </w:p>
    <w:p>
      <w:pPr>
        <w:numPr>
          <w:ilvl w:val="0"/>
          <w:numId w:val="1015"/>
        </w:numPr>
        <w:pStyle w:val="Compact"/>
      </w:pPr>
      <w:r>
        <w:rPr>
          <w:bCs/>
          <w:b/>
        </w:rPr>
        <w:t xml:space="preserve">Use Phase (57.1%):</w:t>
      </w:r>
      <w:r>
        <w:t xml:space="preserve"> </w:t>
      </w:r>
      <w:r>
        <w:t xml:space="preserve">Energy consumption during the product\'s lifespan is the most substantial contributor, highlighting the critical importance of product energy efficiency.</w:t>
      </w:r>
    </w:p>
    <w:p>
      <w:pPr>
        <w:numPr>
          <w:ilvl w:val="0"/>
          <w:numId w:val="1015"/>
        </w:numPr>
        <w:pStyle w:val="Compact"/>
      </w:pPr>
      <w:r>
        <w:rPr>
          <w:bCs/>
          <w:b/>
        </w:rPr>
        <w:t xml:space="preserve">Transport (38.1%):</w:t>
      </w:r>
      <w:r>
        <w:t xml:space="preserve"> </w:t>
      </w:r>
      <w:r>
        <w:t xml:space="preserve">Both upstream material transport and downstream product distribution, especially given a \'Europe Focused\' supply chain originating from China, represent a significant hotspot. Long distances and mode selection significantly influence this.</w:t>
      </w:r>
    </w:p>
    <w:p>
      <w:pPr>
        <w:numPr>
          <w:ilvl w:val="0"/>
          <w:numId w:val="1015"/>
        </w:numPr>
        <w:pStyle w:val="Compact"/>
      </w:pPr>
      <w:r>
        <w:rPr>
          <w:bCs/>
          <w:b/>
        </w:rPr>
        <w:t xml:space="preserve">Manufacturing (3.8%):</w:t>
      </w:r>
      <w:r>
        <w:t xml:space="preserve"> </w:t>
      </w:r>
      <w:r>
        <w:t xml:space="preserve">While renewable energy usage helps, the remaining grid electricity consumption for high energy intensity processes still contributes.</w:t>
      </w:r>
    </w:p>
    <w:p>
      <w:pPr>
        <w:numPr>
          <w:ilvl w:val="0"/>
          <w:numId w:val="1015"/>
        </w:numPr>
        <w:pStyle w:val="Compact"/>
      </w:pPr>
      <w:r>
        <w:rPr>
          <w:bCs/>
          <w:b/>
        </w:rPr>
        <w:t xml:space="preserve">Material Acquisition (1.2%):</w:t>
      </w:r>
      <w:r>
        <w:t xml:space="preserve"> </w:t>
      </w:r>
      <w:r>
        <w:t xml:space="preserve">Specific materials with high embodied carbon (e.g., silicon, primary aluminum) contribute despite potentially smaller quantities.</w:t>
      </w:r>
    </w:p>
    <w:bookmarkEnd w:id="36"/>
    <w:bookmarkStart w:id="37" w:name="recommendations-for-emission-reduction"/>
    <w:p>
      <w:pPr>
        <w:pStyle w:val="Heading3"/>
      </w:pPr>
      <w:r>
        <w:t xml:space="preserve">5.2. Recommendations for Emission Reduction</w:t>
      </w:r>
    </w:p>
    <w:p>
      <w:pPr>
        <w:pStyle w:val="FirstParagraph"/>
      </w:pPr>
      <w:r>
        <w:t xml:space="preserve">Based on this analysis, \'outzwefdmj\' can implement several strategies to reduce the carbon footprint of \'nwnzdzydsg\':</w:t>
      </w:r>
    </w:p>
    <w:p>
      <w:pPr>
        <w:numPr>
          <w:ilvl w:val="0"/>
          <w:numId w:val="1016"/>
        </w:numPr>
        <w:pStyle w:val="Compact"/>
      </w:pPr>
      <w:r>
        <w:rPr>
          <w:bCs/>
          <w:b/>
        </w:rPr>
        <w:t xml:space="preserve">Enhance Product Energy Efficiency:</w:t>
      </w:r>
    </w:p>
    <w:p>
      <w:pPr>
        <w:numPr>
          <w:ilvl w:val="1"/>
          <w:numId w:val="1017"/>
        </w:numPr>
        <w:pStyle w:val="Compact"/>
      </w:pPr>
      <w:r>
        <w:t xml:space="preserve">Prioritize investment in research and development to drastically reduce the energy consumption of \'nwnzdzydsg\' during its use phase. This is the largest hotspot and offers the greatest potential for reduction.</w:t>
      </w:r>
    </w:p>
    <w:p>
      <w:pPr>
        <w:numPr>
          <w:ilvl w:val="1"/>
          <w:numId w:val="1017"/>
        </w:numPr>
        <w:pStyle w:val="Compact"/>
      </w:pPr>
      <w:r>
        <w:t xml:space="preserve">Promote user behaviors that minimize energy consumption (e.g., through smart features, clear instructions, energy-saving modes).</w:t>
      </w:r>
    </w:p>
    <w:p>
      <w:pPr>
        <w:numPr>
          <w:ilvl w:val="0"/>
          <w:numId w:val="1016"/>
        </w:numPr>
        <w:pStyle w:val="Compact"/>
      </w:pPr>
      <w:r>
        <w:rPr>
          <w:bCs/>
          <w:b/>
        </w:rPr>
        <w:t xml:space="preserve">Optimize Logistics:</w:t>
      </w:r>
    </w:p>
    <w:p>
      <w:pPr>
        <w:numPr>
          <w:ilvl w:val="1"/>
          <w:numId w:val="1018"/>
        </w:numPr>
        <w:pStyle w:val="Compact"/>
      </w:pPr>
      <w:r>
        <w:t xml:space="preserve">Prioritize lower-emission transport modes (e.g., rail or ocean freight over air freight where feasible), particularly for long-distance movements.</w:t>
      </w:r>
    </w:p>
    <w:p>
      <w:pPr>
        <w:numPr>
          <w:ilvl w:val="1"/>
          <w:numId w:val="1018"/>
        </w:numPr>
        <w:pStyle w:val="Compact"/>
      </w:pPr>
      <w:r>
        <w:t xml:space="preserve">Optimize routes and consolidate shipments to reduce transport distances and frequency.</w:t>
      </w:r>
    </w:p>
    <w:p>
      <w:pPr>
        <w:numPr>
          <w:ilvl w:val="1"/>
          <w:numId w:val="1018"/>
        </w:numPr>
        <w:pStyle w:val="Compact"/>
      </w:pPr>
      <w:r>
        <w:t xml:space="preserve">Explore regional sourcing of materials to shorten upstream supply chain distances where quality and cost permit.</w:t>
      </w:r>
    </w:p>
    <w:p>
      <w:pPr>
        <w:numPr>
          <w:ilvl w:val="0"/>
          <w:numId w:val="1016"/>
        </w:numPr>
        <w:pStyle w:val="Compact"/>
      </w:pPr>
      <w:r>
        <w:rPr>
          <w:bCs/>
          <w:b/>
        </w:rPr>
        <w:t xml:space="preserve">Increase Renewable Energy Integration in Manufacturing:</w:t>
      </w:r>
    </w:p>
    <w:p>
      <w:pPr>
        <w:numPr>
          <w:ilvl w:val="1"/>
          <w:numId w:val="1019"/>
        </w:numPr>
        <w:pStyle w:val="Compact"/>
      </w:pPr>
      <w:r>
        <w:t xml:space="preserve">Further increase the share of renewable electricity used in manufacturing facilities, beyond the current</w:t>
      </w:r>
      <w:r>
        <w:t xml:space="preserve"> </w:t>
      </w:r>
      <w:r>
        <w:rPr>
          <w:rStyle w:val="VerbatimChar"/>
        </w:rPr>
        <w:t xml:space="preserve">lufuuomsew</w:t>
      </w:r>
      <w:r>
        <w:t xml:space="preserve"> </w:t>
      </w:r>
      <w:r>
        <w:t xml:space="preserve">percentage, to minimize Scope 2 emissions.</w:t>
      </w:r>
    </w:p>
    <w:p>
      <w:pPr>
        <w:numPr>
          <w:ilvl w:val="1"/>
          <w:numId w:val="1019"/>
        </w:numPr>
        <w:pStyle w:val="Compact"/>
      </w:pPr>
      <w:r>
        <w:t xml:space="preserve">Invest in on-site renewable energy generation or procure high-quality renewable energy certificates.</w:t>
      </w:r>
    </w:p>
    <w:p>
      <w:pPr>
        <w:numPr>
          <w:ilvl w:val="0"/>
          <w:numId w:val="1016"/>
        </w:numPr>
        <w:pStyle w:val="Compact"/>
      </w:pPr>
      <w:r>
        <w:rPr>
          <w:bCs/>
          <w:b/>
        </w:rPr>
        <w:t xml:space="preserve">Sustainable Material Sourcing:</w:t>
      </w:r>
    </w:p>
    <w:p>
      <w:pPr>
        <w:numPr>
          <w:ilvl w:val="1"/>
          <w:numId w:val="1020"/>
        </w:numPr>
        <w:pStyle w:val="Compact"/>
      </w:pPr>
      <w:r>
        <w:t xml:space="preserve">Explore alternative materials with lower embodied carbon, such as recycled content, bio-based materials, or materials produced with renewable energy.</w:t>
      </w:r>
    </w:p>
    <w:p>
      <w:pPr>
        <w:numPr>
          <w:ilvl w:val="1"/>
          <w:numId w:val="1020"/>
        </w:numPr>
        <w:pStyle w:val="Compact"/>
      </w:pPr>
      <w:r>
        <w:t xml:space="preserve">Engage with suppliers to encourage their decarbonization efforts and obtain primary, low-carbon material data.</w:t>
      </w:r>
    </w:p>
    <w:p>
      <w:pPr>
        <w:numPr>
          <w:ilvl w:val="0"/>
          <w:numId w:val="1016"/>
        </w:numPr>
        <w:pStyle w:val="Compact"/>
      </w:pPr>
      <w:r>
        <w:rPr>
          <w:bCs/>
          <w:b/>
        </w:rPr>
        <w:t xml:space="preserve">Strengthen Circular Economy Initiatives:</w:t>
      </w:r>
    </w:p>
    <w:p>
      <w:pPr>
        <w:numPr>
          <w:ilvl w:val="1"/>
          <w:numId w:val="1021"/>
        </w:numPr>
        <w:pStyle w:val="Compact"/>
      </w:pPr>
      <w:r>
        <w:t xml:space="preserve">Expand and promote the</w:t>
      </w:r>
      <w:r>
        <w:t xml:space="preserve"> </w:t>
      </w:r>
      <w:r>
        <w:rPr>
          <w:rStyle w:val="VerbatimChar"/>
        </w:rPr>
        <w:t xml:space="preserve">hurhvwzviv</w:t>
      </w:r>
      <w:r>
        <w:t xml:space="preserve"> </w:t>
      </w:r>
      <w:r>
        <w:t xml:space="preserve">(take-back program) to ensure maximum recovery and reuse of components and materials.</w:t>
      </w:r>
    </w:p>
    <w:p>
      <w:pPr>
        <w:numPr>
          <w:ilvl w:val="1"/>
          <w:numId w:val="1021"/>
        </w:numPr>
        <w:pStyle w:val="Compact"/>
      </w:pPr>
      <w:r>
        <w:t xml:space="preserve">Design for disassembly and recyclability to achieve higher</w:t>
      </w:r>
      <w:r>
        <w:t xml:space="preserve"> </w:t>
      </w:r>
      <w:r>
        <w:rPr>
          <w:rStyle w:val="VerbatimChar"/>
        </w:rPr>
        <w:t xml:space="preserve">fsmigjnzpu</w:t>
      </w:r>
      <w:r>
        <w:t xml:space="preserve"> </w:t>
      </w:r>
      <w:r>
        <w:t xml:space="preserve">(recyclability percentage) rates and unlock greater avoided emissions benefits.</w:t>
      </w:r>
    </w:p>
    <w:p>
      <w:pPr>
        <w:numPr>
          <w:ilvl w:val="1"/>
          <w:numId w:val="1021"/>
        </w:numPr>
        <w:pStyle w:val="Compact"/>
      </w:pPr>
      <w:r>
        <w:t xml:space="preserve">Investigate opportunities for product-as-a-service models or extended producer responsibility schemes.</w:t>
      </w:r>
    </w:p>
    <w:p>
      <w:r>
        <w:pict>
          <v:rect style="width:0;height:1.5pt" o:hralign="center" o:hrstd="t" o:hr="t"/>
        </w:pict>
      </w:r>
    </w:p>
    <w:bookmarkEnd w:id="37"/>
    <w:bookmarkEnd w:id="38"/>
    <w:bookmarkStart w:id="39" w:name="conclusion"/>
    <w:p>
      <w:pPr>
        <w:pStyle w:val="Heading2"/>
      </w:pPr>
      <w:r>
        <w:t xml:space="preserve">6. Conclusion</w:t>
      </w:r>
    </w:p>
    <w:p>
      <w:pPr>
        <w:pStyle w:val="FirstParagraph"/>
      </w:pPr>
      <w:r>
        <w:t xml:space="preserve">This Product Carbon Footprint analysis for \'nwnzdzydsg\' by \'outzwefdmj\' provides a critical baseline for understanding its environmental impact according to the GHG Protocol and the 2026 LSR Standard. By identifying key hotspots, \'lxfkkwlzlo\' has laid the groundwork for targeted emission reduction strategies throughout the product\'s lifecycle. Continuous monitoring, data refinement, and strategic interventions are essential for \'outzwefdmj\' to achieve its sustainability goals and contribute to a low-carbon economy.</w:t>
      </w:r>
    </w:p>
    <w:p>
      <w:r>
        <w:pict>
          <v:rect style="width:0;height:1.5pt" o:hralign="center" o:hrstd="t" o:hr="t"/>
        </w:pict>
      </w:r>
    </w:p>
    <w:bookmarkEnd w:id="39"/>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nwnzdzydsg</dc:title>
  <dc:creator/>
  <dc:description>A high-detail Product Carbon Footprint (PCF) analysis report for nwnzdzydsg by outzwefdmj, adhering to GHG Protocol and 2026 LSR Standard.</dc:description>
  <dc:language>en</dc:language>
  <cp:keywords/>
  <dcterms:created xsi:type="dcterms:W3CDTF">2026-07-15T05:33:33Z</dcterms:created>
  <dcterms:modified xsi:type="dcterms:W3CDTF">2026-07-15T05:33:33Z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