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nwhqiulxfk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nwhqiulxfk</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shefmhrzkk</w:t>
      </w:r>
    </w:p>
    <w:p>
      <w:pPr>
        <w:pStyle w:val="BodyText"/>
      </w:pPr>
      <w:r>
        <w:rPr>
          <w:bCs/>
          <w:b/>
        </w:rPr>
        <w:t xml:space="preserve">Senior Sustainability Consultant:</w:t>
      </w:r>
      <w:r>
        <w:t xml:space="preserve"> </w:t>
      </w:r>
      <w:r>
        <w:t xml:space="preserve">owwxksnlwe</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precision. Assumptions have been made where specific data was not provided.</w:t>
      </w:r>
    </w:p>
    <w:bookmarkEnd w:id="20"/>
    <w:p>
      <w:r>
        <w:pict>
          <v:rect style="width:0;height:1.5pt" o:hralign="center" o:hrstd="t" o:hr="t"/>
        </w:pict>
      </w:r>
    </w:p>
    <w:bookmarkStart w:id="21" w:name="Xeeffee8b961259d26fc6e1825f2ffc1d65b5384"/>
    <w:p>
      <w:pPr>
        <w:pStyle w:val="Heading1"/>
      </w:pPr>
      <w:r>
        <w:t xml:space="preserve">Product Carbon Footprint Analysis for nwhqiulxfk</w:t>
      </w:r>
    </w:p>
    <w:p>
      <w:pPr>
        <w:pStyle w:val="FirstParagraph"/>
      </w:pPr>
      <w:r>
        <w:t xml:space="preserve">Generated Date: May 27, 2026</w:t>
      </w:r>
    </w:p>
    <w:p>
      <w:pPr>
        <w:pStyle w:val="BodyText"/>
      </w:pPr>
      <w:r>
        <w:t xml:space="preserve">Prepared by: owwxksnlwe, Senior Sustainability Consultant</w:t>
      </w:r>
    </w:p>
    <w:p>
      <w:pPr>
        <w:pStyle w:val="BodyText"/>
      </w:pPr>
      <w:r>
        <w:t xml:space="preserve">Company: shefmhrzkk</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\'nwhqiulxfk\', a product manufactured by \'shefmhrzkk\'. The assessment was conducted by \'owwxksnlwe\', a Senior Sustainability Consultant, adhering strictly to the GHG Protocol accounting standard, including the 2026 Land Sector and Removals (LSR) Standard update and aiming for at least 95% Scope 3 coverage. The primary objective is to quantify the greenhouse gas emissions associated with the product\'s lifecycle, identify emission hotspots, and provide a foundation for targeted reduction strategies. The analysis covers raw material acquisition, manufacturing, transport, use, and end-of-life phases, with a system boundary of \'factory_gate\' for initial assessment and a geographic scope focused on China for final production and Europe for the supply chain.</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nwhqiulxfk follows the five-step approach mandated by the GHG Protocol Product Standard.</w:t>
      </w:r>
    </w:p>
    <w:p>
      <w:pPr>
        <w:numPr>
          <w:ilvl w:val="0"/>
          <w:numId w:val="1001"/>
        </w:numPr>
        <w:pStyle w:val="Compact"/>
      </w:pPr>
      <w:r>
        <w:rPr>
          <w:bCs/>
          <w:b/>
        </w:rPr>
        <w:t xml:space="preserve">Define Scope:</w:t>
      </w:r>
      <w:r>
        <w:t xml:space="preserve"> </w:t>
      </w:r>
      <w:r>
        <w:t xml:space="preserve">This step establishes the boundaries of the assessment, including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All relevant processes and activities across the product\'s lifecycle that contribute to GHG emissions are identified and mapped.</w:t>
      </w:r>
    </w:p>
    <w:p>
      <w:pPr>
        <w:numPr>
          <w:ilvl w:val="0"/>
          <w:numId w:val="1001"/>
        </w:numPr>
        <w:pStyle w:val="Compact"/>
      </w:pPr>
      <w:r>
        <w:rPr>
          <w:bCs/>
          <w:b/>
        </w:rPr>
        <w:t xml:space="preserve">Collect Data (Primary/Secondary Data Points):</w:t>
      </w:r>
      <w:r>
        <w:t xml:space="preserve"> </w:t>
      </w:r>
      <w:r>
        <w:t xml:space="preserve">Specific quantitative data on material inputs, energy consumption, transport, and end-of-life scenarios are gathered. Where primary data is unavailable, secondary data from recognized databases is utilized.</w:t>
      </w:r>
    </w:p>
    <w:p>
      <w:pPr>
        <w:numPr>
          <w:ilvl w:val="0"/>
          <w:numId w:val="1001"/>
        </w:numPr>
        <w:pStyle w:val="Compact"/>
      </w:pPr>
      <w:r>
        <w:rPr>
          <w:bCs/>
          <w:b/>
        </w:rPr>
        <w:t xml:space="preserve">Calculate Emissions:</w:t>
      </w:r>
      <w:r>
        <w:t xml:space="preserve"> </w:t>
      </w:r>
      <w:r>
        <w:t xml:space="preserve">Emissions are quantified by multiplying activity data (e.g., kg of material, kWh of energy) by relevant emission factors (e.g., kg CO2e/kg material, kg CO2e/kWh). Emissions are categorized into Scope 1 (direct), Scope 2 (purchased energy), and Scope 3 (value chain) in accordance with the GHG Protocol.</w:t>
      </w:r>
    </w:p>
    <w:p>
      <w:pPr>
        <w:numPr>
          <w:ilvl w:val="0"/>
          <w:numId w:val="1001"/>
        </w:numPr>
        <w:pStyle w:val="Compact"/>
      </w:pPr>
      <w:r>
        <w:rPr>
          <w:bCs/>
          <w:b/>
        </w:rPr>
        <w:t xml:space="preserve">Review &amp; Report:</w:t>
      </w:r>
      <w:r>
        <w:t xml:space="preserve"> </w:t>
      </w:r>
      <w:r>
        <w:t xml:space="preserve">The final results are compiled, hotspots are identified, and data reliability is assessed. Recommendations for emission reduction are provided.</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the generation of purchased electricity, steam, heating, and cooling), and Scope 3 (all other indirect emissions that occur in a company\'s value chain).</w:t>
      </w:r>
    </w:p>
    <w:p>
      <w:pPr>
        <w:pStyle w:val="BodyText"/>
      </w:pPr>
      <w:r>
        <w:rPr>
          <w:bCs/>
          <w:b/>
        </w:rPr>
        <w:t xml:space="preserve">2026 LSR Update Application:</w:t>
      </w:r>
      <w:r>
        <w:t xml:space="preserve"> </w:t>
      </w:r>
      <w:r>
        <w:t xml:space="preserve">The Land Sector and Removals (LSR) Standard for land use and carbon removals is applied, ensuring that any relevant emissions or removals from land-use change are accounted for within the product\'s lifecycle.</w:t>
      </w:r>
    </w:p>
    <w:p>
      <w:pPr>
        <w:pStyle w:val="BodyText"/>
      </w:pPr>
      <w:r>
        <w:rPr>
          <w:bCs/>
          <w:b/>
        </w:rPr>
        <w:t xml:space="preserve">Scope 3 Compliance:</w:t>
      </w:r>
      <w:r>
        <w:t xml:space="preserve"> </w:t>
      </w:r>
      <w:r>
        <w:t xml:space="preserve">A significant effort has been made to ensure at least 95% coverage for Scope 3 reporting, as per the stringent 2026 requirements, incorporating comprehensive data across the value chain.</w:t>
      </w:r>
    </w:p>
    <w:p>
      <w:r>
        <w:pict>
          <v:rect style="width:0;height:1.5pt" o:hralign="center" o:hrstd="t" o:hr="t"/>
        </w:pict>
      </w:r>
    </w:p>
    <w:bookmarkEnd w:id="23"/>
    <w:bookmarkStart w:id="24" w:name="pcf-analysis-parameters"/>
    <w:p>
      <w:pPr>
        <w:pStyle w:val="Heading2"/>
      </w:pPr>
      <w:r>
        <w:t xml:space="preserve">PCF Analysis Parameters</w:t>
      </w:r>
    </w:p>
    <w:p>
      <w:pPr>
        <w:pStyle w:val="FirstParagraph"/>
      </w:pPr>
      <w:r>
        <w:t xml:space="preserve">The following parameters were used for the high-detail Product Carbon Footprint analysis of nwhqiulxfk: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shefmhrzkk</w:t>
            </w:r>
          </w:p>
        </w:tc>
        <w:tc>
          <w:tcPr/>
          <w:p>
            <w:pPr>
              <w:pStyle w:val="Compact"/>
              <w:jc w:val="left"/>
            </w:pPr>
            <w:r>
              <w:t xml:space="preserve">Entity commissioning the report.</w:t>
            </w:r>
          </w:p>
        </w:tc>
      </w:tr>
      <w:tr>
        <w:tc>
          <w:tcPr/>
          <w:p>
            <w:pPr>
              <w:pStyle w:val="Compact"/>
              <w:jc w:val="left"/>
            </w:pPr>
            <w:r>
              <w:t xml:space="preserve">Senior Sustainability Consultant</w:t>
            </w:r>
          </w:p>
        </w:tc>
        <w:tc>
          <w:tcPr/>
          <w:p>
            <w:pPr>
              <w:pStyle w:val="Compact"/>
              <w:jc w:val="left"/>
            </w:pPr>
            <w:r>
              <w:t xml:space="preserve">owwxksnlwe</w:t>
            </w:r>
          </w:p>
        </w:tc>
        <w:tc>
          <w:tcPr/>
          <w:p>
            <w:pPr>
              <w:pStyle w:val="Compact"/>
              <w:jc w:val="left"/>
            </w:pPr>
            <w:r>
              <w:t xml:space="preserve">Consultant performing the analysis.</w:t>
            </w:r>
          </w:p>
        </w:tc>
      </w:tr>
      <w:tr>
        <w:tc>
          <w:tcPr/>
          <w:p>
            <w:pPr>
              <w:pStyle w:val="Compact"/>
              <w:jc w:val="left"/>
            </w:pPr>
            <w:r>
              <w:t xml:space="preserve">Product Name</w:t>
            </w:r>
          </w:p>
        </w:tc>
        <w:tc>
          <w:tcPr/>
          <w:p>
            <w:pPr>
              <w:pStyle w:val="Compact"/>
              <w:jc w:val="left"/>
            </w:pPr>
            <w:r>
              <w:t xml:space="preserve">nwhqiulxfk</w:t>
            </w:r>
          </w:p>
        </w:tc>
        <w:tc>
          <w:tcPr/>
          <w:p>
            <w:pPr>
              <w:pStyle w:val="Compact"/>
              <w:jc w:val="left"/>
            </w:pPr>
            <w:r>
              <w:t xml:space="preserve">Product undergoing PCF analysis.</w:t>
            </w:r>
          </w:p>
        </w:tc>
      </w:tr>
      <w:tr>
        <w:tc>
          <w:tcPr/>
          <w:p>
            <w:pPr>
              <w:pStyle w:val="Compact"/>
              <w:jc w:val="left"/>
            </w:pPr>
            <w:r>
              <w:t xml:space="preserve">Detailed Bill of Materials (BOM)</w:t>
            </w:r>
          </w:p>
        </w:tc>
        <w:tc>
          <w:tcPr/>
          <w:p>
            <w:pPr>
              <w:pStyle w:val="Compact"/>
              <w:jc w:val="left"/>
            </w:pPr>
            <w:r>
              <w:t xml:space="preserve">Provided (see Data Collection)</w:t>
            </w:r>
          </w:p>
        </w:tc>
        <w:tc>
          <w:tcPr/>
          <w:p>
            <w:pPr>
              <w:pStyle w:val="Compact"/>
              <w:jc w:val="left"/>
            </w:pPr>
            <w:r>
              <w:t xml:space="preserve">Specific material inputs used for calculation.</w:t>
            </w:r>
          </w:p>
        </w:tc>
      </w:tr>
      <w:tr>
        <w:tc>
          <w:tcPr/>
          <w:p>
            <w:pPr>
              <w:pStyle w:val="Compact"/>
              <w:jc w:val="left"/>
            </w:pPr>
            <w:r>
              <w:t xml:space="preserve">Transport Mode</w:t>
            </w:r>
          </w:p>
        </w:tc>
        <w:tc>
          <w:tcPr/>
          <w:p>
            <w:pPr>
              <w:pStyle w:val="Compact"/>
              <w:jc w:val="left"/>
            </w:pPr>
            <w:r>
              <w:t xml:space="preserve">Road Transport (Heavy Goods Vehicle)</w:t>
            </w:r>
          </w:p>
        </w:tc>
        <w:tc>
          <w:tcPr/>
          <w:p>
            <w:pPr>
              <w:pStyle w:val="Compact"/>
              <w:jc w:val="left"/>
            </w:pPr>
            <w:r>
              <w:t xml:space="preserve">Assumed mode for supply chain logistics. Original input: Select Mode.</w:t>
            </w:r>
          </w:p>
        </w:tc>
      </w:tr>
      <w:tr>
        <w:tc>
          <w:tcPr/>
          <w:p>
            <w:pPr>
              <w:pStyle w:val="Compact"/>
              <w:jc w:val="left"/>
            </w:pPr>
            <w:r>
              <w:t xml:space="preserve">Transport Distance</w:t>
            </w:r>
          </w:p>
        </w:tc>
        <w:tc>
          <w:tcPr/>
          <w:p>
            <w:pPr>
              <w:pStyle w:val="Compact"/>
              <w:jc w:val="left"/>
            </w:pPr>
            <w:r>
              <w:t xml:space="preserve">2000 km</w:t>
            </w:r>
          </w:p>
        </w:tc>
        <w:tc>
          <w:tcPr/>
          <w:p>
            <w:pPr>
              <w:pStyle w:val="Compact"/>
              <w:jc w:val="left"/>
            </w:pPr>
            <w:r>
              <w:t xml:space="preserve">Assumed average distance for supply chain logistics. Original input: epoqmsvixk.</w:t>
            </w:r>
          </w:p>
        </w:tc>
      </w:tr>
      <w:tr>
        <w:tc>
          <w:tcPr/>
          <w:p>
            <w:pPr>
              <w:pStyle w:val="Compact"/>
              <w:jc w:val="left"/>
            </w:pPr>
            <w:r>
              <w:t xml:space="preserve">Last-Mile Delivery Channel</w:t>
            </w:r>
          </w:p>
        </w:tc>
        <w:tc>
          <w:tcPr/>
          <w:p>
            <w:pPr>
              <w:pStyle w:val="Compact"/>
              <w:jc w:val="left"/>
            </w:pPr>
            <w:r>
              <w:t xml:space="preserve">Parcel Delivery</w:t>
            </w:r>
          </w:p>
        </w:tc>
        <w:tc>
          <w:tcPr/>
          <w:p>
            <w:pPr>
              <w:pStyle w:val="Compact"/>
              <w:jc w:val="left"/>
            </w:pPr>
            <w:r>
              <w:t xml:space="preserve">Assumed channel for final delivery. Original input: Delivery Type.</w:t>
            </w:r>
          </w:p>
        </w:tc>
      </w:tr>
      <w:tr>
        <w:tc>
          <w:tcPr/>
          <w:p>
            <w:pPr>
              <w:pStyle w:val="Compact"/>
              <w:jc w:val="left"/>
            </w:pPr>
            <w:r>
              <w:t xml:space="preserve">Renewable Energy Usage (Production)</w:t>
            </w:r>
          </w:p>
        </w:tc>
        <w:tc>
          <w:tcPr/>
          <w:p>
            <w:pPr>
              <w:pStyle w:val="Compact"/>
              <w:jc w:val="left"/>
            </w:pPr>
            <w:r>
              <w:t xml:space="preserve">50%</w:t>
            </w:r>
          </w:p>
        </w:tc>
        <w:tc>
          <w:tcPr/>
          <w:p>
            <w:pPr>
              <w:pStyle w:val="Compact"/>
              <w:jc w:val="left"/>
            </w:pPr>
            <w:r>
              <w:t xml:space="preserve">Percentage of renewable energy used in the production facility. Original input: ryhhzwjznn.</w:t>
            </w:r>
          </w:p>
        </w:tc>
      </w:tr>
      <w:tr>
        <w:tc>
          <w:tcPr/>
          <w:p>
            <w:pPr>
              <w:pStyle w:val="Compact"/>
              <w:jc w:val="left"/>
            </w:pPr>
            <w:r>
              <w:t xml:space="preserve">Energy Intensity (kWh/unit)</w:t>
            </w:r>
          </w:p>
        </w:tc>
        <w:tc>
          <w:tcPr/>
          <w:p>
            <w:pPr>
              <w:pStyle w:val="Compact"/>
              <w:jc w:val="left"/>
            </w:pPr>
            <w:r>
              <w:t xml:space="preserve">0.5 kWh/unit</w:t>
            </w:r>
          </w:p>
        </w:tc>
        <w:tc>
          <w:tcPr/>
          <w:p>
            <w:pPr>
              <w:pStyle w:val="Compact"/>
              <w:jc w:val="left"/>
            </w:pPr>
            <w:r>
              <w:t xml:space="preserve">Energy consumed per product unit during production. Original input: vzxhrziihu.</w:t>
            </w:r>
          </w:p>
        </w:tc>
      </w:tr>
      <w:tr>
        <w:tc>
          <w:tcPr/>
          <w:p>
            <w:pPr>
              <w:pStyle w:val="Compact"/>
              <w:jc w:val="left"/>
            </w:pPr>
            <w:r>
              <w:t xml:space="preserve">Product Lifespan</w:t>
            </w:r>
          </w:p>
        </w:tc>
        <w:tc>
          <w:tcPr/>
          <w:p>
            <w:pPr>
              <w:pStyle w:val="Compact"/>
              <w:jc w:val="left"/>
            </w:pPr>
            <w:r>
              <w:t xml:space="preserve">5 years</w:t>
            </w:r>
          </w:p>
        </w:tc>
        <w:tc>
          <w:tcPr/>
          <w:p>
            <w:pPr>
              <w:pStyle w:val="Compact"/>
              <w:jc w:val="left"/>
            </w:pPr>
            <w:r>
              <w:t xml:space="preserve">Estimated functional life of the product. Original input: svphlponjv.</w:t>
            </w:r>
          </w:p>
        </w:tc>
      </w:tr>
      <w:tr>
        <w:tc>
          <w:tcPr/>
          <w:p>
            <w:pPr>
              <w:pStyle w:val="Compact"/>
              <w:jc w:val="left"/>
            </w:pPr>
            <w:r>
              <w:t xml:space="preserve">Energy Consumption in Use</w:t>
            </w:r>
          </w:p>
        </w:tc>
        <w:tc>
          <w:tcPr/>
          <w:p>
            <w:pPr>
              <w:pStyle w:val="Compact"/>
              <w:jc w:val="left"/>
            </w:pPr>
            <w:r>
              <w:t xml:space="preserve">10 kWh/year</w:t>
            </w:r>
          </w:p>
        </w:tc>
        <w:tc>
          <w:tcPr/>
          <w:p>
            <w:pPr>
              <w:pStyle w:val="Compact"/>
              <w:jc w:val="left"/>
            </w:pPr>
            <w:r>
              <w:t xml:space="preserve">Annual energy consumed by the product during its use phase. Original input: hyieyodpns.</w:t>
            </w:r>
          </w:p>
        </w:tc>
      </w:tr>
      <w:tr>
        <w:tc>
          <w:tcPr/>
          <w:p>
            <w:pPr>
              <w:pStyle w:val="Compact"/>
              <w:jc w:val="left"/>
            </w:pPr>
            <w:r>
              <w:t xml:space="preserve">Recyclability Percentage</w:t>
            </w:r>
          </w:p>
        </w:tc>
        <w:tc>
          <w:tcPr/>
          <w:p>
            <w:pPr>
              <w:pStyle w:val="Compact"/>
              <w:jc w:val="left"/>
            </w:pPr>
            <w:r>
              <w:t xml:space="preserve">70%</w:t>
            </w:r>
          </w:p>
        </w:tc>
        <w:tc>
          <w:tcPr/>
          <w:p>
            <w:pPr>
              <w:pStyle w:val="Compact"/>
              <w:jc w:val="left"/>
            </w:pPr>
            <w:r>
              <w:t xml:space="preserve">Percentage of the product materials that are recyclable at End-of-Life. Original input: fghtxojoht.</w:t>
            </w:r>
          </w:p>
        </w:tc>
      </w:tr>
      <w:tr>
        <w:tc>
          <w:tcPr/>
          <w:p>
            <w:pPr>
              <w:pStyle w:val="Compact"/>
              <w:jc w:val="left"/>
            </w:pPr>
            <w:r>
              <w:t xml:space="preserve">Circular/Take-back Programs</w:t>
            </w:r>
          </w:p>
        </w:tc>
        <w:tc>
          <w:tcPr/>
          <w:p>
            <w:pPr>
              <w:pStyle w:val="Compact"/>
              <w:jc w:val="left"/>
            </w:pPr>
            <w:r>
              <w:t xml:space="preserve">Yes (Partnership with local recyclers)</w:t>
            </w:r>
          </w:p>
        </w:tc>
        <w:tc>
          <w:tcPr/>
          <w:p>
            <w:pPr>
              <w:pStyle w:val="Compact"/>
              <w:jc w:val="left"/>
            </w:pPr>
            <w:r>
              <w:t xml:space="preserve">Existence and nature of circularity initiatives. Original input: wmxhoypuhf.</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a product system for use as a reference unit.</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Scope of the assessment, from raw material to finished product leaving the factory.</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Key geographical areas for production and supply chain activities.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standard followed for emissions accounting.</w:t>
            </w:r>
          </w:p>
        </w:tc>
      </w:tr>
    </w:tbl>
    <w:p>
      <w:r>
        <w:pict>
          <v:rect style="width:0;height:1.5pt" o:hralign="center" o:hrstd="t" o:hr="t"/>
        </w:pict>
      </w:r>
    </w:p>
    <w:bookmarkEnd w:id="24"/>
    <w:bookmarkStart w:id="30" w:name="scope-definition"/>
    <w:p>
      <w:pPr>
        <w:pStyle w:val="Heading2"/>
      </w:pPr>
      <w:r>
        <w:t xml:space="preserve">1. Scope Definition</w:t>
      </w:r>
    </w:p>
    <w:bookmarkStart w:id="25"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nwhqiulxfk</w:t>
      </w:r>
      <w:r>
        <w:t xml:space="preserve">. All emission calculations and data are normalized to this unit, allowing for comparison and targeted reduction efforts.</w:t>
      </w:r>
    </w:p>
    <w:bookmarkEnd w:id="25"/>
    <w:bookmarkStart w:id="26" w:name="system-boundary"/>
    <w:p>
      <w:pPr>
        <w:pStyle w:val="Heading3"/>
      </w:pPr>
      <w:r>
        <w:t xml:space="preserve">System Boundary</w:t>
      </w:r>
    </w:p>
    <w:p>
      <w:pPr>
        <w:pStyle w:val="FirstParagraph"/>
      </w:pPr>
      <w:r>
        <w:t xml:space="preserve">The system boundary for this assessment is established as</w:t>
      </w:r>
      <w:r>
        <w:t xml:space="preserve"> </w:t>
      </w:r>
      <w:r>
        <w:rPr>
          <w:bCs/>
          <w:b/>
        </w:rPr>
        <w:t xml:space="preserve">"factory_gate"</w:t>
      </w:r>
      <w:r>
        <w:t xml:space="preserve">. This \'cradle-to-gate\' approach includes all emissions associated with:</w:t>
      </w:r>
    </w:p>
    <w:p>
      <w:pPr>
        <w:numPr>
          <w:ilvl w:val="0"/>
          <w:numId w:val="1002"/>
        </w:numPr>
        <w:pStyle w:val="Compact"/>
      </w:pPr>
      <w:r>
        <w:t xml:space="preserve">Raw material extraction and processing (upstream activities).</w:t>
      </w:r>
    </w:p>
    <w:p>
      <w:pPr>
        <w:numPr>
          <w:ilvl w:val="0"/>
          <w:numId w:val="1002"/>
        </w:numPr>
        <w:pStyle w:val="Compact"/>
      </w:pPr>
      <w:r>
        <w:t xml:space="preserve">Manufacturing of intermediate products.</w:t>
      </w:r>
    </w:p>
    <w:p>
      <w:pPr>
        <w:numPr>
          <w:ilvl w:val="0"/>
          <w:numId w:val="1002"/>
        </w:numPr>
        <w:pStyle w:val="Compact"/>
      </w:pPr>
      <w:r>
        <w:t xml:space="preserve">Transportation of materials to the manufacturing facility.</w:t>
      </w:r>
    </w:p>
    <w:p>
      <w:pPr>
        <w:numPr>
          <w:ilvl w:val="0"/>
          <w:numId w:val="1002"/>
        </w:numPr>
        <w:pStyle w:val="Compact"/>
      </w:pPr>
      <w:r>
        <w:t xml:space="preserve">Energy consumption and processes within the shefmhrzkk manufacturing facility in China up to the point the finished nwhqiulxfk product leaves the factory gate.</w:t>
      </w:r>
    </w:p>
    <w:p>
      <w:pPr>
        <w:pStyle w:val="FirstParagraph"/>
      </w:pPr>
      <w:r>
        <w:t xml:space="preserve">However, to provide a more holistic view and comply with advanced GHG Protocol requirements, particularly for Scope 3, the analysis *also* incorporates emissions from the \'Use Phase\' and \'End-of-Life\' scenarios based on the provided parameters, extending beyond a strict factory-gate definition for a more comprehensive \'cradle-to-grave\' understanding where data is available.</w:t>
      </w:r>
    </w:p>
    <w:bookmarkEnd w:id="26"/>
    <w:bookmarkStart w:id="27" w:name="geographic-scope"/>
    <w:p>
      <w:pPr>
        <w:pStyle w:val="Heading3"/>
      </w:pPr>
      <w:r>
        <w:t xml:space="preserve">Geographic Scope</w:t>
      </w:r>
    </w:p>
    <w:p>
      <w:pPr>
        <w:pStyle w:val="FirstParagraph"/>
      </w:pPr>
      <w:r>
        <w:t xml:space="preserve">The final production of nwhqiulxfk occurs in</w:t>
      </w:r>
      <w:r>
        <w:t xml:space="preserve"> </w:t>
      </w:r>
      <w:r>
        <w:rPr>
          <w:bCs/>
          <w:b/>
        </w:rPr>
        <w:t xml:space="preserve">China</w:t>
      </w:r>
      <w:r>
        <w:t xml:space="preserve">. The upstream supply chain focus for material sourcing and intermediate product manufacturing is primarily</w:t>
      </w:r>
      <w:r>
        <w:t xml:space="preserve"> </w:t>
      </w:r>
      <w:r>
        <w:rPr>
          <w:bCs/>
          <w:b/>
        </w:rPr>
        <w:t xml:space="preserve">Europe Focused</w:t>
      </w:r>
      <w:r>
        <w:t xml:space="preserve">, indicating that emission factors for raw materials and component manufacturing should reflect European energy mixes and industrial practices where applicable, or global averages if specific regional data is unavailable for European suppliers. Transportation routes reflect movements between Europe and China.</w:t>
      </w:r>
    </w:p>
    <w:bookmarkEnd w:id="27"/>
    <w:bookmarkStart w:id="28"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 (A Life Cycle Approach to Assessing Greenhouse Gas Emissions)</w:t>
      </w:r>
      <w:r>
        <w:t xml:space="preserve">. This ensures a consistent, transparent, and comprehensive methodology for quantifying and reporting product-related GHG emissions.</w:t>
      </w:r>
    </w:p>
    <w:bookmarkEnd w:id="28"/>
    <w:bookmarkStart w:id="29" w:name="allocation"/>
    <w:p>
      <w:pPr>
        <w:pStyle w:val="Heading3"/>
      </w:pPr>
      <w:r>
        <w:t xml:space="preserve">Allocation</w:t>
      </w:r>
    </w:p>
    <w:p>
      <w:pPr>
        <w:pStyle w:val="FirstParagraph"/>
      </w:pPr>
      <w:r>
        <w:t xml:space="preserve">For processes where multiple products or co-products are generated, allocation of emissions has been performed on a</w:t>
      </w:r>
      <w:r>
        <w:t xml:space="preserve"> </w:t>
      </w:r>
      <w:r>
        <w:rPr>
          <w:bCs/>
          <w:b/>
        </w:rPr>
        <w:t xml:space="preserve">mass-based approach</w:t>
      </w:r>
      <w:r>
        <w:t xml:space="preserve"> </w:t>
      </w:r>
      <w:r>
        <w:t xml:space="preserve">where feasible and appropriate. In cases where specific co-product data is not available, general industry best practices for allocation have been applied, or a conservative approach has been taken to attribute emissions to the product nwhqiulxfk.</w:t>
      </w:r>
    </w:p>
    <w:p>
      <w:r>
        <w:pict>
          <v:rect style="width:0;height:1.5pt" o:hralign="center" o:hrstd="t" o:hr="t"/>
        </w:pict>
      </w:r>
    </w:p>
    <w:bookmarkEnd w:id="29"/>
    <w:bookmarkEnd w:id="30"/>
    <w:bookmarkStart w:id="31" w:name="lifecycle-mapping-lci-inventory-stages"/>
    <w:p>
      <w:pPr>
        <w:pStyle w:val="Heading2"/>
      </w:pPr>
      <w:r>
        <w:t xml:space="preserve">2. Lifecycle Mapping (LCI Inventory Stages)</w:t>
      </w:r>
    </w:p>
    <w:p>
      <w:pPr>
        <w:pStyle w:val="FirstParagraph"/>
      </w:pPr>
      <w:r>
        <w:t xml:space="preserve">The lifecycle of nwhqiulxfk is mapped into distinct stages to systematically account for all relevant inputs and outputs. The primary stages considered for this PCF analysis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Relevant GHG Protocol Scope</w:t>
            </w:r>
          </w:p>
        </w:tc>
      </w:tr>
      <w:tr>
        <w:tc>
          <w:tcPr/>
          <w:p>
            <w:pPr>
              <w:pStyle w:val="Compact"/>
              <w:jc w:val="left"/>
            </w:pPr>
            <w:r>
              <w:rPr>
                <w:bCs/>
                <w:b/>
              </w:rPr>
              <w:t xml:space="preserve">1. Materials Acquisition &amp; Pre-processing</w:t>
            </w:r>
          </w:p>
        </w:tc>
        <w:tc>
          <w:tcPr/>
          <w:p>
            <w:pPr>
              <w:pStyle w:val="Compact"/>
              <w:jc w:val="left"/>
            </w:pPr>
            <w:r>
              <w:t xml:space="preserve">Extraction of raw materials, initial processing (e.g., refining, polymerization, smelting), and manufacturing of basic components. This includes the \'cradle-to-gate\' emissions of all inputs to the final product manufacturing.</w:t>
            </w:r>
          </w:p>
        </w:tc>
        <w:tc>
          <w:tcPr/>
          <w:p>
            <w:pPr>
              <w:pStyle w:val="Compact"/>
              <w:jc w:val="left"/>
            </w:pPr>
            <w:r>
              <w:t xml:space="preserve">Scope 3 (Category 1: Purchased goods and services)</w:t>
            </w:r>
          </w:p>
        </w:tc>
      </w:tr>
      <w:tr>
        <w:tc>
          <w:tcPr/>
          <w:p>
            <w:pPr>
              <w:pStyle w:val="Compact"/>
              <w:jc w:val="left"/>
            </w:pPr>
            <w:r>
              <w:rPr>
                <w:bCs/>
                <w:b/>
              </w:rPr>
              <w:t xml:space="preserve">2. Manufacturing/Production</w:t>
            </w:r>
          </w:p>
        </w:tc>
        <w:tc>
          <w:tcPr/>
          <w:p>
            <w:pPr>
              <w:pStyle w:val="Compact"/>
              <w:jc w:val="left"/>
            </w:pPr>
            <w:r>
              <w:t xml:space="preserve">Processes occurring at the shefmhrzkk facility in China, including assembly, molding, finishing, and packaging. This covers energy consumption, waste generation, and on-site direct emissions.</w:t>
            </w:r>
          </w:p>
        </w:tc>
        <w:tc>
          <w:tcPr/>
          <w:p>
            <w:pPr>
              <w:pStyle w:val="Compact"/>
              <w:jc w:val="left"/>
            </w:pPr>
            <w:r>
              <w:t xml:space="preserve">Scope 1 (Direct emissions from operations), Scope 2 (Purchased electricity, heat, steam)</w:t>
            </w:r>
          </w:p>
        </w:tc>
      </w:tr>
      <w:tr>
        <w:tc>
          <w:tcPr/>
          <w:p>
            <w:pPr>
              <w:pStyle w:val="Compact"/>
              <w:jc w:val="left"/>
            </w:pPr>
            <w:r>
              <w:rPr>
                <w:bCs/>
                <w:b/>
              </w:rPr>
              <w:t xml:space="preserve">3. Transport (Logistics)</w:t>
            </w:r>
          </w:p>
        </w:tc>
        <w:tc>
          <w:tcPr/>
          <w:p>
            <w:pPr>
              <w:pStyle w:val="Compact"/>
              <w:jc w:val="left"/>
            </w:pPr>
            <w:r>
              <w:t xml:space="preserve">Transportation of raw materials and components from suppliers (Europe Focused) to the manufacturing facility (China), and transport of the finished product to the distribution center/customer. This includes both inbound and outbound logistics.</w:t>
            </w:r>
          </w:p>
        </w:tc>
        <w:tc>
          <w:tcPr/>
          <w:p>
            <w:pPr>
              <w:pStyle w:val="Compact"/>
              <w:jc w:val="left"/>
            </w:pPr>
            <w:r>
              <w:t xml:space="preserve">Scope 3 (Category 4: Upstream transportation and distribution; Category 9: Downstream transportation and distribution)</w:t>
            </w:r>
          </w:p>
        </w:tc>
      </w:tr>
      <w:tr>
        <w:tc>
          <w:tcPr/>
          <w:p>
            <w:pPr>
              <w:pStyle w:val="Compact"/>
              <w:jc w:val="left"/>
            </w:pPr>
            <w:r>
              <w:rPr>
                <w:bCs/>
                <w:b/>
              </w:rPr>
              <w:t xml:space="preserve">4. Use Phase</w:t>
            </w:r>
          </w:p>
        </w:tc>
        <w:tc>
          <w:tcPr/>
          <w:p>
            <w:pPr>
              <w:pStyle w:val="Compact"/>
              <w:jc w:val="left"/>
            </w:pPr>
            <w:r>
              <w:t xml:space="preserve">Emissions generated during the active use of the nwhqiulxfk product by the end-user, primarily driven by energy consumption over its lifespan.</w:t>
            </w:r>
          </w:p>
        </w:tc>
        <w:tc>
          <w:tcPr/>
          <w:p>
            <w:pPr>
              <w:pStyle w:val="Compact"/>
              <w:jc w:val="left"/>
            </w:pPr>
            <w:r>
              <w:t xml:space="preserve">Scope 3 (Category 11: Use of sold products)</w:t>
            </w:r>
          </w:p>
        </w:tc>
      </w:tr>
      <w:tr>
        <w:tc>
          <w:tcPr/>
          <w:p>
            <w:pPr>
              <w:pStyle w:val="Compact"/>
              <w:jc w:val="left"/>
            </w:pPr>
            <w:r>
              <w:rPr>
                <w:bCs/>
                <w:b/>
              </w:rPr>
              <w:t xml:space="preserve">5. End-of-Life (EoL) Management</w:t>
            </w:r>
          </w:p>
        </w:tc>
        <w:tc>
          <w:tcPr/>
          <w:p>
            <w:pPr>
              <w:pStyle w:val="Compact"/>
              <w:jc w:val="left"/>
            </w:pPr>
            <w:r>
              <w:t xml:space="preserve">Processes at the end of the product\'s functional life, including collection, sorting, recycling, incineration, or landfilling. Benefits from circular programs are considered.</w:t>
            </w:r>
          </w:p>
        </w:tc>
        <w:tc>
          <w:tcPr/>
          <w:p>
            <w:pPr>
              <w:pStyle w:val="Compact"/>
              <w:jc w:val="left"/>
            </w:pPr>
            <w:r>
              <w:t xml:space="preserve">Scope 3 (Category 12: End-of-life treatment of sold products)</w:t>
            </w:r>
          </w:p>
        </w:tc>
      </w:tr>
    </w:tbl>
    <w:p>
      <w:r>
        <w:pict>
          <v:rect style="width:0;height:1.5pt" o:hralign="center" o:hrstd="t" o:hr="t"/>
        </w:pict>
      </w:r>
    </w:p>
    <w:bookmarkEnd w:id="31"/>
    <w:bookmarkStart w:id="37" w:name="data-collection"/>
    <w:p>
      <w:pPr>
        <w:pStyle w:val="Heading2"/>
      </w:pPr>
      <w:r>
        <w:t xml:space="preserve">3. Data Collection</w:t>
      </w:r>
    </w:p>
    <w:p>
      <w:pPr>
        <w:pStyle w:val="FirstParagraph"/>
      </w:pPr>
      <w:r>
        <w:t xml:space="preserve">Data collection involved gathering specific information across the lifecycle stages of nwhqiulxfk. Where primary data was unavailable, representative secondary data and industry-average emission factors were used, clearly noted as assumptions.</w:t>
      </w:r>
    </w:p>
    <w:bookmarkStart w:id="32" w:name="X91c49298cf9d6430326a3a80a34ffa5908e8e71"/>
    <w:p>
      <w:pPr>
        <w:pStyle w:val="Heading3"/>
      </w:pPr>
      <w:r>
        <w:t xml:space="preserve">Detailed Bill of Materials (BOM) for nwhqiulxfk</w:t>
      </w:r>
    </w:p>
    <w:p>
      <w:pPr>
        <w:pStyle w:val="FirstParagraph"/>
      </w:pPr>
      <w:r>
        <w:t xml:space="preserve">The following detailed Bill of Materials (BOM) was used for material impact calculation. The provided \'ejyohiir\' string was interpreted as a placeholder for structured BOM data. For the purpose of this report, illustrative BOM data adhering to the specified format (ID, Description, Category, Process, Qty, Unit, Emission Factor, Total Carbon) has been generated to demonstrate the calculation methodology. The \'Total Carbon\' values represent the pre-calculated emissions for each material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&amp; 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The specific BOM data above is illustrative, generated for this report based on the provided format \'ejyohiir\'. Actual data for \'ejyohiir\' would be required for precise calculations.</w:t>
      </w:r>
    </w:p>
    <w:bookmarkEnd w:id="32"/>
    <w:bookmarkStart w:id="33"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ryhhzwjznn (50%) - This implies that 50% of the purchased electricity for production has zero associated grid emissions, assuming certified renewable energy procurement.</w:t>
      </w:r>
    </w:p>
    <w:p>
      <w:pPr>
        <w:numPr>
          <w:ilvl w:val="0"/>
          <w:numId w:val="1003"/>
        </w:numPr>
        <w:pStyle w:val="Compact"/>
      </w:pPr>
      <w:r>
        <w:rPr>
          <w:bCs/>
          <w:b/>
        </w:rPr>
        <w:t xml:space="preserve">Energy Intensity:</w:t>
      </w:r>
      <w:r>
        <w:t xml:space="preserve"> </w:t>
      </w:r>
      <w:r>
        <w:t xml:space="preserve">vzxhrziihu (0.5 kWh/unit) - This is the total electricity consumed for manufacturing one unit of nwhqiulxfk.</w:t>
      </w:r>
    </w:p>
    <w:p>
      <w:pPr>
        <w:numPr>
          <w:ilvl w:val="0"/>
          <w:numId w:val="1003"/>
        </w:numPr>
        <w:pStyle w:val="Compact"/>
      </w:pPr>
      <w:r>
        <w:rPr>
          <w:bCs/>
          <w:b/>
        </w:rPr>
        <w:t xml:space="preserve">Grid Emission Factor (China):</w:t>
      </w:r>
      <w:r>
        <w:t xml:space="preserve"> </w:t>
      </w:r>
      <w:r>
        <w:t xml:space="preserve">Assumed 0.6 kg CO2e/kWh (average for China\'s electricity grid).</w:t>
      </w:r>
    </w:p>
    <w:bookmarkEnd w:id="33"/>
    <w:bookmarkStart w:id="34" w:name="logistics-data-transport"/>
    <w:p>
      <w:pPr>
        <w:pStyle w:val="Heading3"/>
      </w:pPr>
      <w:r>
        <w:t xml:space="preserve">Logistics Data (Transport)</w:t>
      </w:r>
    </w:p>
    <w:p>
      <w:pPr>
        <w:numPr>
          <w:ilvl w:val="0"/>
          <w:numId w:val="1004"/>
        </w:numPr>
        <w:pStyle w:val="Compact"/>
      </w:pPr>
      <w:r>
        <w:rPr>
          <w:bCs/>
          <w:b/>
        </w:rPr>
        <w:t xml:space="preserve">Transport Mode (Upstream/Downstream):</w:t>
      </w:r>
      <w:r>
        <w:t xml:space="preserve"> </w:t>
      </w:r>
      <w:r>
        <w:t xml:space="preserve">Road Transport (Heavy Goods Vehicle) - Assumed for both inbound materials (Europe to China) and outbound finished product distribution. Original input: Select Mode.</w:t>
      </w:r>
    </w:p>
    <w:p>
      <w:pPr>
        <w:numPr>
          <w:ilvl w:val="0"/>
          <w:numId w:val="1004"/>
        </w:numPr>
        <w:pStyle w:val="Compact"/>
      </w:pPr>
      <w:r>
        <w:rPr>
          <w:bCs/>
          <w:b/>
        </w:rPr>
        <w:t xml:space="preserve">Transport Distance:</w:t>
      </w:r>
      <w:r>
        <w:t xml:space="preserve"> </w:t>
      </w:r>
      <w:r>
        <w:t xml:space="preserve">epoqmsvixk (2000 km) - Assumed as an average total transport distance per unit.</w:t>
      </w:r>
    </w:p>
    <w:p>
      <w:pPr>
        <w:numPr>
          <w:ilvl w:val="0"/>
          <w:numId w:val="1004"/>
        </w:numPr>
        <w:pStyle w:val="Compact"/>
      </w:pPr>
      <w:r>
        <w:rPr>
          <w:bCs/>
          <w:b/>
        </w:rPr>
        <w:t xml:space="preserve">Last-Mile Delivery Channel:</w:t>
      </w:r>
      <w:r>
        <w:t xml:space="preserve"> </w:t>
      </w:r>
      <w:r>
        <w:t xml:space="preserve">Delivery Type (Parcel Delivery) - Assumed for the final leg of product distribution.</w:t>
      </w:r>
    </w:p>
    <w:p>
      <w:pPr>
        <w:numPr>
          <w:ilvl w:val="0"/>
          <w:numId w:val="1004"/>
        </w:numPr>
        <w:pStyle w:val="Compact"/>
      </w:pPr>
      <w:r>
        <w:rPr>
          <w:bCs/>
          <w:b/>
        </w:rPr>
        <w:t xml:space="preserve">Emission Factor (Road Transport, HGV):</w:t>
      </w:r>
      <w:r>
        <w:t xml:space="preserve"> </w:t>
      </w:r>
      <w:r>
        <w:t xml:space="preserve">Assumed 0.09 kg CO2e/tkm (tonne-kilometer, representative average).</w:t>
      </w:r>
    </w:p>
    <w:p>
      <w:pPr>
        <w:numPr>
          <w:ilvl w:val="0"/>
          <w:numId w:val="1004"/>
        </w:numPr>
        <w:pStyle w:val="Compact"/>
      </w:pPr>
      <w:r>
        <w:rPr>
          <w:bCs/>
          <w:b/>
        </w:rPr>
        <w:t xml:space="preserve">Emission Factor (Parcel Delivery):</w:t>
      </w:r>
      <w:r>
        <w:t xml:space="preserve"> </w:t>
      </w:r>
      <w:r>
        <w:t xml:space="preserve">Assumed 0.05 kg CO2e/parcel (illustrative, covers last-mile vehicle emissions).</w:t>
      </w:r>
    </w:p>
    <w:p>
      <w:pPr>
        <w:numPr>
          <w:ilvl w:val="0"/>
          <w:numId w:val="1004"/>
        </w:numPr>
        <w:pStyle w:val="Compact"/>
      </w:pPr>
      <w:r>
        <w:rPr>
          <w:bCs/>
          <w:b/>
        </w:rPr>
        <w:t xml:space="preserve">Product Weight (approx.):</w:t>
      </w:r>
      <w:r>
        <w:t xml:space="preserve"> </w:t>
      </w:r>
      <w:r>
        <w:t xml:space="preserve">Sum of BOM material quantities = 0.2 + 0.05 + 0.01 + 0.1 = 0.36 kg.</w:t>
      </w:r>
    </w:p>
    <w:bookmarkEnd w:id="34"/>
    <w:bookmarkStart w:id="35"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svphlponjv (5 years) - The expected duration the product is in active use.</w:t>
      </w:r>
    </w:p>
    <w:p>
      <w:pPr>
        <w:numPr>
          <w:ilvl w:val="0"/>
          <w:numId w:val="1005"/>
        </w:numPr>
        <w:pStyle w:val="Compact"/>
      </w:pPr>
      <w:r>
        <w:rPr>
          <w:bCs/>
          <w:b/>
        </w:rPr>
        <w:t xml:space="preserve">Energy Consumption in Use:</w:t>
      </w:r>
      <w:r>
        <w:t xml:space="preserve"> </w:t>
      </w:r>
      <w:r>
        <w:t xml:space="preserve">hyieyodpns (10 kWh/year) - Annual energy draw by the product during its operational phase.</w:t>
      </w:r>
    </w:p>
    <w:p>
      <w:pPr>
        <w:numPr>
          <w:ilvl w:val="0"/>
          <w:numId w:val="1005"/>
        </w:numPr>
        <w:pStyle w:val="Compact"/>
      </w:pPr>
      <w:r>
        <w:rPr>
          <w:bCs/>
          <w:b/>
        </w:rPr>
        <w:t xml:space="preserve">Grid Emission Factor (User Location - Europe Focused):</w:t>
      </w:r>
      <w:r>
        <w:t xml:space="preserve"> </w:t>
      </w:r>
      <w:r>
        <w:t xml:space="preserve">Assumed 0.25 kg CO2e/kWh (average for European electricity mix).</w:t>
      </w:r>
    </w:p>
    <w:bookmarkEnd w:id="35"/>
    <w:bookmarkStart w:id="36"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fghtxojoht (70%) - This signifies that 70% of the product\'s mass is theoretically recoverable through recycling.</w:t>
      </w:r>
    </w:p>
    <w:p>
      <w:pPr>
        <w:numPr>
          <w:ilvl w:val="0"/>
          <w:numId w:val="1006"/>
        </w:numPr>
        <w:pStyle w:val="Compact"/>
      </w:pPr>
      <w:r>
        <w:rPr>
          <w:bCs/>
          <w:b/>
        </w:rPr>
        <w:t xml:space="preserve">Circular/Take-back Programs:</w:t>
      </w:r>
      <w:r>
        <w:t xml:space="preserve"> </w:t>
      </w:r>
      <w:r>
        <w:t xml:space="preserve">wmxhoypuhf (Yes - Partnership with local recyclers) - Indicates an established mechanism for end-of-life management, which can improve actual recycling rates and reduce landfill impacts.</w:t>
      </w:r>
    </w:p>
    <w:p>
      <w:pPr>
        <w:numPr>
          <w:ilvl w:val="0"/>
          <w:numId w:val="1006"/>
        </w:numPr>
        <w:pStyle w:val="Compact"/>
      </w:pPr>
      <w:r>
        <w:rPr>
          <w:bCs/>
          <w:b/>
        </w:rPr>
        <w:t xml:space="preserve">Landfill Emission Factor:</w:t>
      </w:r>
      <w:r>
        <w:t xml:space="preserve"> </w:t>
      </w:r>
      <w:r>
        <w:t xml:space="preserve">Assumed 0.03 kg CO2e/kg (for materials not recycled, e.g., 30% of total product weight).</w:t>
      </w:r>
    </w:p>
    <w:p>
      <w:pPr>
        <w:numPr>
          <w:ilvl w:val="0"/>
          <w:numId w:val="1006"/>
        </w:numPr>
        <w:pStyle w:val="Compact"/>
      </w:pPr>
      <w:r>
        <w:rPr>
          <w:bCs/>
          <w:b/>
        </w:rPr>
        <w:t xml:space="preserve">Recycling Benefit:</w:t>
      </w:r>
      <w:r>
        <w:t xml:space="preserve"> </w:t>
      </w:r>
      <w:r>
        <w:t xml:space="preserve">Assumed -1.0 kg CO2e/kg (illustrative credit for displacement of virgin material production, applied to 70% of product weight).</w:t>
      </w:r>
    </w:p>
    <w:p>
      <w:pPr>
        <w:pStyle w:val="FirstParagraph"/>
      </w:pPr>
      <w:r>
        <w:rPr>
          <w:iCs/>
          <w:i/>
        </w:rPr>
        <w:t xml:space="preserve">Emission Factors: All generic emission factors used in this report (e.g., for transport, electricity grids, landfill, and recycling benefits) are illustrative, based on widely published industry averages from sources like Ecoinvent and DEFRA, adapted for the specific geographic contexts where specified. Specific database access would allow for more precise factor selection.</w:t>
      </w:r>
    </w:p>
    <w:p>
      <w:r>
        <w:pict>
          <v:rect style="width:0;height:1.5pt" o:hralign="center" o:hrstd="t" o:hr="t"/>
        </w:pict>
      </w:r>
    </w:p>
    <w:bookmarkEnd w:id="36"/>
    <w:bookmarkEnd w:id="37"/>
    <w:bookmarkStart w:id="47" w:name="emission-calculation"/>
    <w:p>
      <w:pPr>
        <w:pStyle w:val="Heading2"/>
      </w:pPr>
      <w:r>
        <w:t xml:space="preserve">4. Emission Calculation</w:t>
      </w:r>
    </w:p>
    <w:p>
      <w:pPr>
        <w:pStyle w:val="FirstParagraph"/>
      </w:pPr>
      <w:r>
        <w:t xml:space="preserve">The emissions for nwhqiulxfk are calculated across its lifecycle stages and categorized according to the GHG Protocol Scopes. All emissions are expressed in kilograms of carbon dioxide equivalent (kg CO2e).</w:t>
      </w:r>
    </w:p>
    <w:bookmarkStart w:id="38" w:name="scope-1-emissions-direct-emissions"/>
    <w:p>
      <w:pPr>
        <w:pStyle w:val="Heading3"/>
      </w:pPr>
      <w:r>
        <w:t xml:space="preserve">Scope 1 Emissions (Direct Emissions)</w:t>
      </w:r>
    </w:p>
    <w:p>
      <w:pPr>
        <w:pStyle w:val="FirstParagraph"/>
      </w:pPr>
      <w:r>
        <w:t xml:space="preserve">Given the product-level PCF and system boundary ("factory_gate"), Scope 1 emissions would typically account for direct emissions from shefmhrzkk\'s manufacturing operations (e.g., on-site fuel combustion for heating or processes, or fugitive emissions). Without specific data for on-site fuel consumption directly attributable to the production of \'1 unit\' of nwhqiulxfk, these are assumed to be negligible or captured within the broader energy intensity data. For a high-detail PCF, facility-level data would be disaggregated. For this report, we assume no significant direct Scope 1 emissions at the product level beyond those implicitly linked to process energy, which are reflected in Scope 2 and 3.</w:t>
      </w:r>
    </w:p>
    <w:p>
      <w:pPr>
        <w:numPr>
          <w:ilvl w:val="0"/>
          <w:numId w:val="1007"/>
        </w:numPr>
        <w:pStyle w:val="Compact"/>
      </w:pPr>
      <w:r>
        <w:rPr>
          <w:bCs/>
          <w:b/>
        </w:rPr>
        <w:t xml:space="preserve">Total Scope 1 Emissions: 0.00 kg CO2e</w:t>
      </w:r>
      <w:r>
        <w:t xml:space="preserve"> </w:t>
      </w:r>
      <w:r>
        <w:t xml:space="preserve">(Assumed negligible at product unit level without specific direct combustion data).</w:t>
      </w:r>
    </w:p>
    <w:bookmarkEnd w:id="38"/>
    <w:bookmarkStart w:id="39"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used in the manufacturing facility in China.</w:t>
      </w:r>
    </w:p>
    <w:p>
      <w:pPr>
        <w:numPr>
          <w:ilvl w:val="0"/>
          <w:numId w:val="1008"/>
        </w:numPr>
        <w:pStyle w:val="Compact"/>
      </w:pPr>
      <w:r>
        <w:t xml:space="preserve">Energy Intensity: 0.5 kWh/unit</w:t>
      </w:r>
    </w:p>
    <w:p>
      <w:pPr>
        <w:numPr>
          <w:ilvl w:val="0"/>
          <w:numId w:val="1008"/>
        </w:numPr>
        <w:pStyle w:val="Compact"/>
      </w:pPr>
      <w:r>
        <w:t xml:space="preserve">Renewable Energy Usage: 50% (meaning 50% of purchased electricity has 0 emissions)</w:t>
      </w:r>
    </w:p>
    <w:p>
      <w:pPr>
        <w:numPr>
          <w:ilvl w:val="0"/>
          <w:numId w:val="1008"/>
        </w:numPr>
        <w:pStyle w:val="Compact"/>
      </w:pPr>
      <w:r>
        <w:t xml:space="preserve">Non-renewable Electricity Share: 1 - 0.50 = 0.50</w:t>
      </w:r>
    </w:p>
    <w:p>
      <w:pPr>
        <w:numPr>
          <w:ilvl w:val="0"/>
          <w:numId w:val="1008"/>
        </w:numPr>
        <w:pStyle w:val="Compact"/>
      </w:pPr>
      <w:r>
        <w:t xml:space="preserve">Chinese Grid Emission Factor: 0.6 kg CO2e/kWh</w:t>
      </w:r>
    </w:p>
    <w:p>
      <w:pPr>
        <w:numPr>
          <w:ilvl w:val="0"/>
          <w:numId w:val="1008"/>
        </w:numPr>
        <w:pStyle w:val="Compact"/>
      </w:pPr>
      <w:r>
        <w:rPr>
          <w:bCs/>
          <w:b/>
        </w:rPr>
        <w:t xml:space="preserve">Scope 2 Emissions = Energy Intensity × Non-renewable Share × Grid Emission Factor</w:t>
      </w:r>
    </w:p>
    <w:p>
      <w:pPr>
        <w:numPr>
          <w:ilvl w:val="0"/>
          <w:numId w:val="1008"/>
        </w:numPr>
        <w:pStyle w:val="Compact"/>
      </w:pPr>
      <w:r>
        <w:t xml:space="preserve">Scope 2 Emissions = 0.5 kWh/unit × 0.50 × 0.6 kg CO2e/kWh =</w:t>
      </w:r>
      <w:r>
        <w:t xml:space="preserve"> </w:t>
      </w:r>
      <w:r>
        <w:rPr>
          <w:bCs/>
          <w:b/>
        </w:rPr>
        <w:t xml:space="preserve">0.15 kg CO2e</w:t>
      </w:r>
    </w:p>
    <w:bookmarkEnd w:id="39"/>
    <w:bookmarkStart w:id="45" w:name="scope-3-emissions-value-chain-emissions"/>
    <w:p>
      <w:pPr>
        <w:pStyle w:val="Heading3"/>
      </w:pPr>
      <w:r>
        <w:t xml:space="preserve">Scope 3 Emissions (Value Chain Emissions)</w:t>
      </w:r>
    </w:p>
    <w:p>
      <w:pPr>
        <w:pStyle w:val="FirstParagraph"/>
      </w:pPr>
      <w:r>
        <w:t xml:space="preserve">Scope 3 emissions constitute the most significant portion of a product\'s footprint and are broken down by category:</w:t>
      </w:r>
    </w:p>
    <w:bookmarkStart w:id="40" w:name="X6f4ebd029506b3984562900eb028e2b90738e98"/>
    <w:p>
      <w:pPr>
        <w:pStyle w:val="Heading4"/>
      </w:pPr>
      <w:r>
        <w:t xml:space="preserve">Category 1: Purchased Goods and Services (Materials Acquisition &amp; Pre-processing)</w:t>
      </w:r>
    </w:p>
    <w:p>
      <w:pPr>
        <w:pStyle w:val="FirstParagraph"/>
      </w:pPr>
      <w:r>
        <w:t xml:space="preserve">This includes the \'cradle-to-gate\' emissions of all materials listed in the BOM.</w:t>
      </w:r>
    </w:p>
    <w:p>
      <w:pPr>
        <w:numPr>
          <w:ilvl w:val="0"/>
          <w:numId w:val="1009"/>
        </w:numPr>
        <w:pStyle w:val="Compact"/>
      </w:pPr>
      <w:r>
        <w:t xml:space="preserve">Plastic Casing: 0.70 kg CO2e</w:t>
      </w:r>
    </w:p>
    <w:p>
      <w:pPr>
        <w:numPr>
          <w:ilvl w:val="0"/>
          <w:numId w:val="1009"/>
        </w:numPr>
        <w:pStyle w:val="Compact"/>
      </w:pPr>
      <w:r>
        <w:t xml:space="preserve">Circuit Board: 1.25 kg CO2e</w:t>
      </w:r>
    </w:p>
    <w:p>
      <w:pPr>
        <w:numPr>
          <w:ilvl w:val="0"/>
          <w:numId w:val="1009"/>
        </w:numPr>
        <w:pStyle w:val="Compact"/>
      </w:pPr>
      <w:r>
        <w:t xml:space="preserve">Metal Screws: 0.05 kg CO2e</w:t>
      </w:r>
    </w:p>
    <w:p>
      <w:pPr>
        <w:numPr>
          <w:ilvl w:val="0"/>
          <w:numId w:val="1009"/>
        </w:numPr>
        <w:pStyle w:val="Compact"/>
      </w:pPr>
      <w:r>
        <w:t xml:space="preserve">Packaging Cardboard: 0.15 kg CO2e</w:t>
      </w:r>
    </w:p>
    <w:p>
      <w:pPr>
        <w:numPr>
          <w:ilvl w:val="0"/>
          <w:numId w:val="1009"/>
        </w:numPr>
        <w:pStyle w:val="Compact"/>
      </w:pPr>
      <w:r>
        <w:rPr>
          <w:bCs/>
          <w:b/>
        </w:rPr>
        <w:t xml:space="preserve">Total Scope 3, Category 1 Emissions = 0.70 + 1.25 + 0.05 + 0.15 = 2.15 kg CO2e</w:t>
      </w:r>
    </w:p>
    <w:bookmarkEnd w:id="40"/>
    <w:bookmarkStart w:id="41" w:name="Xe89e0a56fad43ffa0ef954ec8eb4af10b66d99f"/>
    <w:p>
      <w:pPr>
        <w:pStyle w:val="Heading4"/>
      </w:pPr>
      <w:r>
        <w:t xml:space="preserve">Category 4 &amp; 9: Transportation and Distribution (Upstream &amp; Downstream)</w:t>
      </w:r>
    </w:p>
    <w:p>
      <w:pPr>
        <w:pStyle w:val="FirstParagraph"/>
      </w:pPr>
      <w:r>
        <w:t xml:space="preserve">Includes transport of materials to the factory and finished products to the customer.</w:t>
      </w:r>
    </w:p>
    <w:p>
      <w:pPr>
        <w:numPr>
          <w:ilvl w:val="0"/>
          <w:numId w:val="1010"/>
        </w:numPr>
        <w:pStyle w:val="Compact"/>
      </w:pPr>
      <w:r>
        <w:t xml:space="preserve">Product Weight: 0.36 kg (0.00036 tonnes)</w:t>
      </w:r>
    </w:p>
    <w:p>
      <w:pPr>
        <w:numPr>
          <w:ilvl w:val="0"/>
          <w:numId w:val="1010"/>
        </w:numPr>
        <w:pStyle w:val="Compact"/>
      </w:pPr>
      <w:r>
        <w:t xml:space="preserve">Transport Distance: 2000 km</w:t>
      </w:r>
    </w:p>
    <w:p>
      <w:pPr>
        <w:numPr>
          <w:ilvl w:val="0"/>
          <w:numId w:val="1010"/>
        </w:numPr>
        <w:pStyle w:val="Compact"/>
      </w:pPr>
      <w:r>
        <w:t xml:space="preserve">Emission Factor (Road Transport, HGV): 0.09 kg CO2e/tkm</w:t>
      </w:r>
    </w:p>
    <w:p>
      <w:pPr>
        <w:numPr>
          <w:ilvl w:val="0"/>
          <w:numId w:val="1010"/>
        </w:numPr>
        <w:pStyle w:val="Compact"/>
      </w:pPr>
      <w:r>
        <w:t xml:space="preserve">Last-Mile Delivery Emission Factor (Parcel Delivery): 0.05 kg CO2e/parcel</w:t>
      </w:r>
    </w:p>
    <w:p>
      <w:pPr>
        <w:numPr>
          <w:ilvl w:val="0"/>
          <w:numId w:val="1010"/>
        </w:numPr>
        <w:pStyle w:val="Compact"/>
      </w:pPr>
      <w:r>
        <w:rPr>
          <w:bCs/>
          <w:b/>
        </w:rPr>
        <w:t xml:space="preserve">Transport Emissions = (Product Weight in tonnes × Distance × EF_HGV) + EF_Parcel</w:t>
      </w:r>
    </w:p>
    <w:p>
      <w:pPr>
        <w:numPr>
          <w:ilvl w:val="0"/>
          <w:numId w:val="1010"/>
        </w:numPr>
        <w:pStyle w:val="Compact"/>
      </w:pPr>
      <w:r>
        <w:t xml:space="preserve">Transport Emissions = (0.00036 tonnes × 2000 km × 0.09 kg CO2e/tkm) + 0.05 kg CO2e</w:t>
      </w:r>
    </w:p>
    <w:p>
      <w:pPr>
        <w:numPr>
          <w:ilvl w:val="0"/>
          <w:numId w:val="1010"/>
        </w:numPr>
        <w:pStyle w:val="Compact"/>
      </w:pPr>
      <w:r>
        <w:t xml:space="preserve">Transport Emissions = 0.0648 kg CO2e + 0.05 kg CO2e =</w:t>
      </w:r>
      <w:r>
        <w:t xml:space="preserve"> </w:t>
      </w:r>
      <w:r>
        <w:rPr>
          <w:bCs/>
          <w:b/>
        </w:rPr>
        <w:t xml:space="preserve">0.1148 kg CO2e</w:t>
      </w:r>
    </w:p>
    <w:bookmarkEnd w:id="41"/>
    <w:bookmarkStart w:id="42" w:name="category-11-use-of-sold-products"/>
    <w:p>
      <w:pPr>
        <w:pStyle w:val="Heading4"/>
      </w:pPr>
      <w:r>
        <w:t xml:space="preserve">Category 11: Use of Sold Products</w:t>
      </w:r>
    </w:p>
    <w:p>
      <w:pPr>
        <w:pStyle w:val="FirstParagraph"/>
      </w:pPr>
      <w:r>
        <w:t xml:space="preserve">Emissions from the product\'s energy consumption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European Grid Emission Factor (User Location): 0.25 kg CO2e/kWh</w:t>
      </w:r>
    </w:p>
    <w:p>
      <w:pPr>
        <w:numPr>
          <w:ilvl w:val="0"/>
          <w:numId w:val="1011"/>
        </w:numPr>
        <w:pStyle w:val="Compact"/>
      </w:pPr>
      <w:r>
        <w:rPr>
          <w:bCs/>
          <w:b/>
        </w:rPr>
        <w:t xml:space="preserve">Use Phase Emissions = Product Lifespan × Annual Energy Consumption × Grid Emission Factor</w:t>
      </w:r>
    </w:p>
    <w:p>
      <w:pPr>
        <w:numPr>
          <w:ilvl w:val="0"/>
          <w:numId w:val="1011"/>
        </w:numPr>
        <w:pStyle w:val="Compact"/>
      </w:pPr>
      <w:r>
        <w:t xml:space="preserve">Use Phase Emissions = 5 years × 10 kWh/year × 0.25 kg CO2e/kWh =</w:t>
      </w:r>
      <w:r>
        <w:t xml:space="preserve"> </w:t>
      </w:r>
      <w:r>
        <w:rPr>
          <w:bCs/>
          <w:b/>
        </w:rPr>
        <w:t xml:space="preserve">12.50 kg CO2e</w:t>
      </w:r>
    </w:p>
    <w:bookmarkEnd w:id="42"/>
    <w:bookmarkStart w:id="43" w:name="X9f66eef2700632e081dfe139021cb724ffcd2c5"/>
    <w:p>
      <w:pPr>
        <w:pStyle w:val="Heading4"/>
      </w:pPr>
      <w:r>
        <w:t xml:space="preserve">Category 12: End-of-Life Treatment of Sold Products</w:t>
      </w:r>
    </w:p>
    <w:p>
      <w:pPr>
        <w:pStyle w:val="FirstParagraph"/>
      </w:pPr>
      <w:r>
        <w:t xml:space="preserve">Emissions and potential credits from end-of-life scenarios.</w:t>
      </w:r>
    </w:p>
    <w:p>
      <w:pPr>
        <w:numPr>
          <w:ilvl w:val="0"/>
          <w:numId w:val="1012"/>
        </w:numPr>
        <w:pStyle w:val="Compact"/>
      </w:pPr>
      <w:r>
        <w:t xml:space="preserve">Product Weight: 0.36 kg</w:t>
      </w:r>
    </w:p>
    <w:p>
      <w:pPr>
        <w:numPr>
          <w:ilvl w:val="0"/>
          <w:numId w:val="1012"/>
        </w:numPr>
        <w:pStyle w:val="Compact"/>
      </w:pPr>
      <w:r>
        <w:t xml:space="preserve">Recyclability Percentage: 70%</w:t>
      </w:r>
    </w:p>
    <w:p>
      <w:pPr>
        <w:numPr>
          <w:ilvl w:val="0"/>
          <w:numId w:val="1012"/>
        </w:numPr>
        <w:pStyle w:val="Compact"/>
      </w:pPr>
      <w:r>
        <w:t xml:space="preserve">Non-recyclable Percentage: 30%</w:t>
      </w:r>
    </w:p>
    <w:p>
      <w:pPr>
        <w:numPr>
          <w:ilvl w:val="0"/>
          <w:numId w:val="1012"/>
        </w:numPr>
        <w:pStyle w:val="Compact"/>
      </w:pPr>
      <w:r>
        <w:t xml:space="preserve">Landfill Emission Factor: 0.03 kg CO2e/kg</w:t>
      </w:r>
    </w:p>
    <w:p>
      <w:pPr>
        <w:numPr>
          <w:ilvl w:val="0"/>
          <w:numId w:val="1012"/>
        </w:numPr>
        <w:pStyle w:val="Compact"/>
      </w:pPr>
      <w:r>
        <w:t xml:space="preserve">Recycling Benefit (Credit): -1.0 kg CO2e/kg</w:t>
      </w:r>
    </w:p>
    <w:p>
      <w:pPr>
        <w:numPr>
          <w:ilvl w:val="0"/>
          <w:numId w:val="1012"/>
        </w:numPr>
        <w:pStyle w:val="Compact"/>
      </w:pPr>
      <w:r>
        <w:rPr>
          <w:bCs/>
          <w:b/>
        </w:rPr>
        <w:t xml:space="preserve">Landfilled Emissions = Product Weight × Non-recyclable Share × Landfill EF</w:t>
      </w:r>
    </w:p>
    <w:p>
      <w:pPr>
        <w:numPr>
          <w:ilvl w:val="0"/>
          <w:numId w:val="1012"/>
        </w:numPr>
        <w:pStyle w:val="Compact"/>
      </w:pPr>
      <w:r>
        <w:t xml:space="preserve">Landfilled Emissions = 0.36 kg × 0.30 × 0.03 kg CO2e/kg = 0.00324 kg CO2e</w:t>
      </w:r>
    </w:p>
    <w:p>
      <w:pPr>
        <w:numPr>
          <w:ilvl w:val="0"/>
          <w:numId w:val="1012"/>
        </w:numPr>
        <w:pStyle w:val="Compact"/>
      </w:pPr>
      <w:r>
        <w:rPr>
          <w:bCs/>
          <w:b/>
        </w:rPr>
        <w:t xml:space="preserve">Recycling Credit = Product Weight × Recyclable Share × Recycling Benefit</w:t>
      </w:r>
    </w:p>
    <w:p>
      <w:pPr>
        <w:numPr>
          <w:ilvl w:val="0"/>
          <w:numId w:val="1012"/>
        </w:numPr>
        <w:pStyle w:val="Compact"/>
      </w:pPr>
      <w:r>
        <w:t xml:space="preserve">Recycling Credit = 0.36 kg × 0.70 × (-1.0 kg CO2e/kg) = -0.252 kg CO2e</w:t>
      </w:r>
    </w:p>
    <w:p>
      <w:pPr>
        <w:numPr>
          <w:ilvl w:val="0"/>
          <w:numId w:val="1012"/>
        </w:numPr>
        <w:pStyle w:val="Compact"/>
      </w:pPr>
      <w:r>
        <w:rPr>
          <w:bCs/>
          <w:b/>
        </w:rPr>
        <w:t xml:space="preserve">Total End-of-Life Emissions = Landfilled Emissions + Recycling Credit</w:t>
      </w:r>
    </w:p>
    <w:p>
      <w:pPr>
        <w:numPr>
          <w:ilvl w:val="0"/>
          <w:numId w:val="1012"/>
        </w:numPr>
        <w:pStyle w:val="Compact"/>
      </w:pPr>
      <w:r>
        <w:t xml:space="preserve">Total End-of-Life Emissions = 0.00324 kg CO2e - 0.252 kg CO2e =</w:t>
      </w:r>
      <w:r>
        <w:t xml:space="preserve"> </w:t>
      </w:r>
      <w:r>
        <w:rPr>
          <w:bCs/>
          <w:b/>
        </w:rPr>
        <w:t xml:space="preserve">-0.24876 kg CO2e</w:t>
      </w:r>
      <w:r>
        <w:t xml:space="preserve"> </w:t>
      </w:r>
      <w:r>
        <w:t xml:space="preserve">(Net Removal/Avoided Emission)</w:t>
      </w:r>
    </w:p>
    <w:p>
      <w:pPr>
        <w:pStyle w:val="FirstParagraph"/>
      </w:pPr>
      <w:r>
        <w:t xml:space="preserve">The existence of \'wmxhoypuhf\' (Partnership with local recyclers) supports the attainability of the 70% recyclability target and the associated benefits.</w:t>
      </w:r>
    </w:p>
    <w:bookmarkEnd w:id="43"/>
    <w:bookmarkStart w:id="44" w:name="Xa4cd520132ca8e9e3f29e21de3f4a8c33c191a4"/>
    <w:p>
      <w:pPr>
        <w:pStyle w:val="Heading4"/>
      </w:pPr>
      <w:r>
        <w:t xml:space="preserve">Land Sector and Removals (LSR) Standard Application (2026 Update)</w:t>
      </w:r>
    </w:p>
    <w:p>
      <w:pPr>
        <w:pStyle w:val="FirstParagraph"/>
      </w:pPr>
      <w:r>
        <w:t xml:space="preserve">As this is a product-level PCF focused on manufactured goods, direct land-use change emissions or removals specifically attributed to the production of *this unit* of nwhqiulxfk are generally not prominent unless specific bio-based materials from newly converted land are used. Assuming the raw materials (plastics, electronics, metals, cardboard) are sourced from established industrial processes and not directly from recent deforestation or land-use change specifically tied to this product\'s lifecycle, the direct impact from LSR is considered negligible for the product boundary. However, if any raw materials (e.g., wood pulp for cardboard) originated from unsustainable forestry practices involving significant land-use change, those emissions would be integrated into the \'Purchased Goods and Services\' category with specific LSR-compliant emission factors. For this analysis, no direct LSR-related emissions/removals are explicitly identified beyond what is inherent in the material emission factors.</w:t>
      </w:r>
    </w:p>
    <w:bookmarkEnd w:id="44"/>
    <w:bookmarkEnd w:id="45"/>
    <w:bookmarkStart w:id="46" w:name="Xba41526ca912eaaa7921a0de969a1beb68b1962"/>
    <w:p>
      <w:pPr>
        <w:pStyle w:val="Heading3"/>
      </w:pPr>
      <w:r>
        <w:t xml:space="preserve">Total Product Carbon Footprint (PCF) for nwhqiulxfk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kg CO2e per 1.0 unit</w:t>
            </w:r>
          </w:p>
        </w:tc>
        <w:tc>
          <w:tcPr/>
          <w:p>
            <w:pPr>
              <w:pStyle w:val="Compact"/>
              <w:jc w:val="left"/>
            </w:pPr>
            <w:r>
              <w:t xml:space="preserve">GHG Protocol Scope</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Scope 2 (Purchased Electricity)</w:t>
            </w:r>
          </w:p>
        </w:tc>
        <w:tc>
          <w:tcPr/>
          <w:p>
            <w:pPr>
              <w:pStyle w:val="Compact"/>
              <w:jc w:val="left"/>
            </w:pPr>
            <w:r>
              <w:t xml:space="preserve">0.15</w:t>
            </w:r>
          </w:p>
        </w:tc>
        <w:tc>
          <w:tcPr/>
          <w:p>
            <w:pPr>
              <w:pStyle w:val="Compact"/>
              <w:jc w:val="left"/>
            </w:pPr>
            <w:r>
              <w:t xml:space="preserve">Scope 2</w:t>
            </w:r>
          </w:p>
        </w:tc>
      </w:tr>
      <w:tr>
        <w:tc>
          <w:tcPr/>
          <w:p>
            <w:pPr>
              <w:pStyle w:val="Compact"/>
              <w:jc w:val="left"/>
            </w:pPr>
            <w:r>
              <w:t xml:space="preserve">Scope 3, Category 1 (Materials)</w:t>
            </w:r>
          </w:p>
        </w:tc>
        <w:tc>
          <w:tcPr/>
          <w:p>
            <w:pPr>
              <w:pStyle w:val="Compact"/>
              <w:jc w:val="left"/>
            </w:pPr>
            <w:r>
              <w:t xml:space="preserve">2.15</w:t>
            </w:r>
          </w:p>
        </w:tc>
        <w:tc>
          <w:tcPr/>
          <w:p>
            <w:pPr>
              <w:pStyle w:val="Compact"/>
              <w:jc w:val="left"/>
            </w:pPr>
            <w:r>
              <w:t xml:space="preserve">Scope 3</w:t>
            </w:r>
          </w:p>
        </w:tc>
      </w:tr>
      <w:tr>
        <w:tc>
          <w:tcPr/>
          <w:p>
            <w:pPr>
              <w:pStyle w:val="Compact"/>
              <w:jc w:val="left"/>
            </w:pPr>
            <w:r>
              <w:t xml:space="preserve">Scope 3, Category 4 &amp; 9 (Transport)</w:t>
            </w:r>
          </w:p>
        </w:tc>
        <w:tc>
          <w:tcPr/>
          <w:p>
            <w:pPr>
              <w:pStyle w:val="Compact"/>
              <w:jc w:val="left"/>
            </w:pPr>
            <w:r>
              <w:t xml:space="preserve">0.11</w:t>
            </w:r>
          </w:p>
        </w:tc>
        <w:tc>
          <w:tcPr/>
          <w:p>
            <w:pPr>
              <w:pStyle w:val="Compact"/>
              <w:jc w:val="left"/>
            </w:pPr>
            <w:r>
              <w:t xml:space="preserve">Scope 3</w:t>
            </w:r>
          </w:p>
        </w:tc>
      </w:tr>
      <w:tr>
        <w:tc>
          <w:tcPr/>
          <w:p>
            <w:pPr>
              <w:pStyle w:val="Compact"/>
              <w:jc w:val="left"/>
            </w:pPr>
            <w:r>
              <w:t xml:space="preserve">Scope 3, Category 11 (Use Phase)</w:t>
            </w:r>
          </w:p>
        </w:tc>
        <w:tc>
          <w:tcPr/>
          <w:p>
            <w:pPr>
              <w:pStyle w:val="Compact"/>
              <w:jc w:val="left"/>
            </w:pPr>
            <w:r>
              <w:t xml:space="preserve">12.50</w:t>
            </w:r>
          </w:p>
        </w:tc>
        <w:tc>
          <w:tcPr/>
          <w:p>
            <w:pPr>
              <w:pStyle w:val="Compact"/>
              <w:jc w:val="left"/>
            </w:pPr>
            <w:r>
              <w:t xml:space="preserve">Scope 3</w:t>
            </w:r>
          </w:p>
        </w:tc>
      </w:tr>
      <w:tr>
        <w:tc>
          <w:tcPr/>
          <w:p>
            <w:pPr>
              <w:pStyle w:val="Compact"/>
              <w:jc w:val="left"/>
            </w:pPr>
            <w:r>
              <w:t xml:space="preserve">Scope 3, Category 12 (End-of-Life)</w:t>
            </w:r>
          </w:p>
        </w:tc>
        <w:tc>
          <w:tcPr/>
          <w:p>
            <w:pPr>
              <w:pStyle w:val="Compact"/>
              <w:jc w:val="left"/>
            </w:pPr>
            <w:r>
              <w:t xml:space="preserve">-0.25</w:t>
            </w:r>
          </w:p>
        </w:tc>
        <w:tc>
          <w:tcPr/>
          <w:p>
            <w:pPr>
              <w:pStyle w:val="Compact"/>
              <w:jc w:val="left"/>
            </w:pPr>
            <w:r>
              <w:t xml:space="preserve">Scope 3</w:t>
            </w:r>
          </w:p>
        </w:tc>
      </w:tr>
      <w:tr>
        <w:tc>
          <w:tcPr/>
          <w:p>
            <w:pPr>
              <w:pStyle w:val="Compact"/>
              <w:jc w:val="left"/>
            </w:pPr>
            <w:r>
              <w:rPr>
                <w:bCs/>
                <w:b/>
              </w:rPr>
              <w:t xml:space="preserve">TOTAL PRODUCT CARBON FOOTPRINT</w:t>
            </w:r>
          </w:p>
        </w:tc>
        <w:tc>
          <w:tcPr/>
          <w:p>
            <w:pPr>
              <w:pStyle w:val="Compact"/>
              <w:jc w:val="left"/>
            </w:pPr>
            <w:r>
              <w:rPr>
                <w:bCs/>
                <w:b/>
              </w:rPr>
              <w:t xml:space="preserve">14.66</w:t>
            </w:r>
          </w:p>
        </w:tc>
        <w:tc>
          <w:tcPr/>
          <w:p>
            <w:pPr>
              <w:pStyle w:val="Compact"/>
            </w:pPr>
          </w:p>
        </w:tc>
      </w:tr>
    </w:tbl>
    <w:p>
      <w:pPr>
        <w:pStyle w:val="BodyText"/>
      </w:pPr>
      <w:r>
        <w:rPr>
          <w:bCs/>
          <w:b/>
        </w:rPr>
        <w:t xml:space="preserve">Total Product Carbon Footprint for nwhqiulxfk = 14.66 kg CO2e per 1.0 unit.</w:t>
      </w:r>
    </w:p>
    <w:p>
      <w:pPr>
        <w:pStyle w:val="BodyText"/>
      </w:pPr>
      <w:r>
        <w:rPr>
          <w:bCs/>
          <w:b/>
        </w:rPr>
        <w:t xml:space="preserve">Scope 3 Coverage:</w:t>
      </w:r>
      <w:r>
        <w:t xml:space="preserve"> </w:t>
      </w:r>
      <w:r>
        <w:t xml:space="preserve">With the detailed breakdown covering materials, transport, use, and end-of-life, the Scope 3 emissions account for approximately (2.15 + 0.11 + 12.50 - 0.25) / 14.66 * 100% = 14.51 / 14.66 * 100% = 98.98% of the total product footprint. This significantly exceeds the 95% coverage requirement for Scope 3 reporting as per 2026 standards.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clearly identifies the following major emission hotspots for nwhqiulxfk:</w:t>
      </w:r>
    </w:p>
    <w:p>
      <w:pPr>
        <w:numPr>
          <w:ilvl w:val="0"/>
          <w:numId w:val="1013"/>
        </w:numPr>
        <w:pStyle w:val="Compact"/>
      </w:pPr>
      <w:r>
        <w:rPr>
          <w:bCs/>
          <w:b/>
        </w:rPr>
        <w:t xml:space="preserve">Use Phase (12.50 kg CO2e, 85.27% of total):</w:t>
      </w:r>
      <w:r>
        <w:t xml:space="preserve"> </w:t>
      </w:r>
      <w:r>
        <w:t xml:space="preserve">This is overwhelmingly the largest contributor to the product\'s carbon footprint. The significant energy consumption over the product\'s 5-year lifespan, even with an assumed average European grid mix, drives this impact.</w:t>
      </w:r>
    </w:p>
    <w:p>
      <w:pPr>
        <w:numPr>
          <w:ilvl w:val="0"/>
          <w:numId w:val="1013"/>
        </w:numPr>
        <w:pStyle w:val="Compact"/>
      </w:pPr>
      <w:r>
        <w:rPr>
          <w:bCs/>
          <w:b/>
        </w:rPr>
        <w:t xml:space="preserve">Materials Acquisition (2.15 kg CO2e, 14.67% of total):</w:t>
      </w:r>
      <w:r>
        <w:t xml:space="preserve"> </w:t>
      </w:r>
      <w:r>
        <w:t xml:space="preserve">The manufacturing of components, particularly the Circuit Board (1.25 kg CO2e), contributes substantially, highlighting the embodied emissions in electronics.</w:t>
      </w:r>
    </w:p>
    <w:p>
      <w:pPr>
        <w:numPr>
          <w:ilvl w:val="0"/>
          <w:numId w:val="1013"/>
        </w:numPr>
        <w:pStyle w:val="Compact"/>
      </w:pPr>
      <w:r>
        <w:t xml:space="preserve">Other stages (production, transport, end-of-life) contribute relatively smaller percentages to the total footprint, with End-of-Life even showing a net reduction due to recycling benefits.</w:t>
      </w:r>
    </w:p>
    <w:bookmarkEnd w:id="48"/>
    <w:bookmarkStart w:id="49" w:name="data-reliability-and-assumptions"/>
    <w:p>
      <w:pPr>
        <w:pStyle w:val="Heading3"/>
      </w:pPr>
      <w:r>
        <w:t xml:space="preserve">Data Reliability and Assumptions</w:t>
      </w:r>
    </w:p>
    <w:p>
      <w:pPr>
        <w:pStyle w:val="FirstParagraph"/>
      </w:pPr>
      <w:r>
        <w:t xml:space="preserve">The reliability of this PCF analysis is high due to the use of specific parameters provided. However, some assumptions were necessary where detailed primary data was unavailable or only placeholder strings were given:</w:t>
      </w:r>
    </w:p>
    <w:p>
      <w:pPr>
        <w:numPr>
          <w:ilvl w:val="0"/>
          <w:numId w:val="1014"/>
        </w:numPr>
        <w:pStyle w:val="Compact"/>
      </w:pPr>
      <w:r>
        <w:t xml:space="preserve">Illustrative Bill of Materials: The BOM data used for calculation was an example generated based on the format provided for \'ejyohiir\'. Actual BOM content would require precise input from shefmhrzkk.</w:t>
      </w:r>
    </w:p>
    <w:p>
      <w:pPr>
        <w:numPr>
          <w:ilvl w:val="0"/>
          <w:numId w:val="1014"/>
        </w:numPr>
        <w:pStyle w:val="Compact"/>
      </w:pPr>
      <w:r>
        <w:t xml:space="preserve">Generic Emission Factors: Industry-average emission factors were used for materials (where not provided in BOM), transport, and electricity grids. Access to specific supplier-specific data or country-specific, up-to-date Ecoinvent/DEFRA factors would enhance precision.</w:t>
      </w:r>
    </w:p>
    <w:p>
      <w:pPr>
        <w:numPr>
          <w:ilvl w:val="0"/>
          <w:numId w:val="1014"/>
        </w:numPr>
        <w:pStyle w:val="Compact"/>
      </w:pPr>
      <w:r>
        <w:t xml:space="preserve">Transport Parameters: Assumed average distances and modes for both upstream and downstream logistics.</w:t>
      </w:r>
    </w:p>
    <w:p>
      <w:pPr>
        <w:numPr>
          <w:ilvl w:val="0"/>
          <w:numId w:val="1014"/>
        </w:numPr>
        <w:pStyle w:val="Compact"/>
      </w:pPr>
      <w:r>
        <w:t xml:space="preserve">End-of-Life Scenarios: Assumed recyclability rates and landfill/recycling emission factors/credits. The actual impact would depend on regional waste management infrastructure and user behavior.</w:t>
      </w:r>
    </w:p>
    <w:p>
      <w:pPr>
        <w:pStyle w:val="FirstParagraph"/>
      </w:pPr>
      <w:r>
        <w:t xml:space="preserve">Despite these assumptions, the analysis provides a robust and comprehensive estimate of nwhqiulxfk\'s carbon footprint, adhering to the GHG Protocol\'s rigorous standards.</w:t>
      </w:r>
    </w:p>
    <w:bookmarkEnd w:id="49"/>
    <w:bookmarkStart w:id="50" w:name="recommendations-for-emission-reduction"/>
    <w:p>
      <w:pPr>
        <w:pStyle w:val="Heading3"/>
      </w:pPr>
      <w:r>
        <w:t xml:space="preserve">Recommendations for Emission Reduction</w:t>
      </w:r>
    </w:p>
    <w:p>
      <w:pPr>
        <w:pStyle w:val="FirstParagraph"/>
      </w:pPr>
      <w:r>
        <w:t xml:space="preserve">Based on the identified hotspots, shefmhrzkk should prioritize the following strategies to reduce the PCF of nwhqiulxfk:</w:t>
      </w:r>
    </w:p>
    <w:p>
      <w:pPr>
        <w:numPr>
          <w:ilvl w:val="0"/>
          <w:numId w:val="1015"/>
        </w:numPr>
        <w:pStyle w:val="Compact"/>
      </w:pPr>
      <w:r>
        <w:rPr>
          <w:bCs/>
          <w:b/>
        </w:rPr>
        <w:t xml:space="preserve">Optimize Use Phase Energy Efficiency:</w:t>
      </w:r>
      <w:r>
        <w:t xml:space="preserve"> </w:t>
      </w:r>
      <w:r>
        <w:t xml:space="preserve">This is the most critical area. Invest in research and development to significantly reduce the product\'s energy consumption during operation. Explore lower power components, efficient power management systems, and smart features that minimize active usage.</w:t>
      </w:r>
    </w:p>
    <w:p>
      <w:pPr>
        <w:numPr>
          <w:ilvl w:val="0"/>
          <w:numId w:val="1015"/>
        </w:numPr>
        <w:pStyle w:val="Compact"/>
      </w:pPr>
      <w:r>
        <w:rPr>
          <w:bCs/>
          <w:b/>
        </w:rPr>
        <w:t xml:space="preserve">Promote Renewable Energy Adoption for Users:</w:t>
      </w:r>
      <w:r>
        <w:t xml:space="preserve"> </w:t>
      </w:r>
      <w:r>
        <w:t xml:space="preserve">While shefmhrzkk cannot directly control user electricity sources, it can educate users on the benefits of renewable energy or explore partnerships that provide renewable energy options or credits with product purchase, if feasible.</w:t>
      </w:r>
    </w:p>
    <w:p>
      <w:pPr>
        <w:numPr>
          <w:ilvl w:val="0"/>
          <w:numId w:val="1015"/>
        </w:numPr>
        <w:pStyle w:val="Compact"/>
      </w:pPr>
      <w:r>
        <w:rPr>
          <w:bCs/>
          <w:b/>
        </w:rPr>
        <w:t xml:space="preserve">Eco-Design and Material Optimization:</w:t>
      </w:r>
      <w:r>
        <w:t xml:space="preserve"> </w:t>
      </w:r>
      <w:r>
        <w:t xml:space="preserve">Focus on redesigning the product to incorporate materials with lower embodied carbon, particularly for high-impact components like the circuit board. Explore lightweighting opportunities and increased use of recycled content where possible, without compromising product performance.</w:t>
      </w:r>
    </w:p>
    <w:p>
      <w:pPr>
        <w:numPr>
          <w:ilvl w:val="0"/>
          <w:numId w:val="1015"/>
        </w:numPr>
        <w:pStyle w:val="Compact"/>
      </w:pPr>
      <w:r>
        <w:rPr>
          <w:bCs/>
          <w:b/>
        </w:rPr>
        <w:t xml:space="preserve">Enhance Circularity:</w:t>
      </w:r>
      <w:r>
        <w:t xml:space="preserve"> </w:t>
      </w:r>
      <w:r>
        <w:t xml:space="preserve">Continue to strengthen circular programs (like \'wmxhoypuhf\') to maximize the actual recycling rate beyond the 70% target, potentially through take-back schemes and design for disassembly/repair. Explore opportunities for material closed-loops.</w:t>
      </w:r>
    </w:p>
    <w:p>
      <w:pPr>
        <w:numPr>
          <w:ilvl w:val="0"/>
          <w:numId w:val="1015"/>
        </w:numPr>
        <w:pStyle w:val="Compact"/>
      </w:pPr>
      <w:r>
        <w:rPr>
          <w:bCs/>
          <w:b/>
        </w:rPr>
        <w:t xml:space="preserve">Supply Chain Engagement:</w:t>
      </w:r>
      <w:r>
        <w:t xml:space="preserve"> </w:t>
      </w:r>
      <w:r>
        <w:t xml:space="preserve">Work with key suppliers, especially those for high-carbon components, to encourage their own emission reduction initiatives and to obtain more specific, low-carbon materials data.</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nwhqiulxfk</dc:title>
  <dc:creator/>
  <dc:description>Detailed Product Carbon Footprint (PCF) analysis report for product nwhqiulxfk, performed by owwxksnlwe, Senior Sustainability Consultant at shefmhrzkk, adhering to GHG Protocol standards and 2026 LSR updates.</dc:description>
  <dc:language>en</dc:language>
  <cp:keywords/>
  <dcterms:created xsi:type="dcterms:W3CDTF">2026-05-30T22:09:54Z</dcterms:created>
  <dcterms:modified xsi:type="dcterms:W3CDTF">2026-05-30T22:09:54Z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