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nvtholegkh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nvtholegkh</w:t>
      </w:r>
    </w:p>
    <w:p>
      <w:pPr>
        <w:pStyle w:val="BodyText"/>
      </w:pPr>
      <w:r>
        <w:t xml:space="preserve">Company: tdisyzndry</w:t>
      </w:r>
    </w:p>
    <w:p>
      <w:pPr>
        <w:pStyle w:val="BodyText"/>
      </w:pPr>
      <w:r>
        <w:t xml:space="preserve">Senior Sustainability Consultant: imdvyexqdg</w:t>
      </w:r>
    </w:p>
    <w:p>
      <w:pPr>
        <w:pStyle w:val="BodyText"/>
      </w:pPr>
      <w:r>
        <w:t xml:space="preserve">Protocol Data: GHG Protocol</w:t>
      </w:r>
    </w:p>
    <w:p>
      <w:pPr>
        <w:pStyle w:val="BodyText"/>
      </w:pPr>
      <w:r>
        <w:t xml:space="preserve">This report is generated based on available data and industry standards, providing an estimate of the product\'s carbon footprint.</w:t>
      </w:r>
    </w:p>
    <w:bookmarkEnd w:id="20"/>
    <w:bookmarkStart w:id="45"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nvtholegkh</w:t>
      </w:r>
      <w:r>
        <w:t xml:space="preserve">, manufactured by</w:t>
      </w:r>
      <w:r>
        <w:t xml:space="preserve"> </w:t>
      </w:r>
      <w:r>
        <w:rPr>
          <w:bCs/>
          <w:b/>
        </w:rPr>
        <w:t xml:space="preserve">tdisyzndry</w:t>
      </w:r>
      <w:r>
        <w:t xml:space="preserve">. The analysis, conducted by</w:t>
      </w:r>
      <w:r>
        <w:t xml:space="preserve"> </w:t>
      </w:r>
      <w:r>
        <w:rPr>
          <w:bCs/>
          <w:b/>
        </w:rPr>
        <w:t xml:space="preserve">imdvyexqdg</w:t>
      </w:r>
      <w:r>
        <w:t xml:space="preserve">, Senior Sustainability Consultant, adheres to the GHG Protocol Product Life Cycle Accounting and Reporting Standard and covers the entire lifecycle from raw material acquisition to end-of-life. The goal is to quantify greenhouse gas (GHG) emissions, identify emission hotspots, and provide a foundation for targeted reduction strategies. Key insights indicate that materials and the use phase represent significant contributions to the overall footprint.</w:t>
      </w:r>
    </w:p>
    <w:p>
      <w:r>
        <w:pict>
          <v:rect style="width:0;height:1.5pt" o:hralign="center" o:hrstd="t" o:hr="t"/>
        </w:pict>
      </w:r>
    </w:p>
    <w:bookmarkEnd w:id="21"/>
    <w:bookmarkStart w:id="24" w:name="X453cfc1bf9f69449912de19839d485dc9751de3"/>
    <w:p>
      <w:pPr>
        <w:pStyle w:val="Heading2"/>
      </w:pPr>
      <w:r>
        <w:t xml:space="preserve">1. Introduction to Product Carbon Footprint (PCF) and GHG Protocol</w:t>
      </w:r>
    </w:p>
    <w:p>
      <w:pPr>
        <w:pStyle w:val="FirstParagraph"/>
      </w:pPr>
      <w:r>
        <w:t xml:space="preserve">A Product Carbon Footprint (PCF) quantifies the total greenhouse gas (GHG) emissions generated throughout a product\'s lifecycle, expressed in kilograms of carbon dioxide equivalents (CO2e) per unit of product. This analysis provides granular, product-level data crucial for identifying emission hotspots, informing decisions on materials and processes, and transparently communicating environmental impact.</w:t>
      </w:r>
    </w:p>
    <w:bookmarkStart w:id="22" w:name="ghg-protocol-accounting-standard"/>
    <w:p>
      <w:pPr>
        <w:pStyle w:val="Heading3"/>
      </w:pPr>
      <w:r>
        <w:t xml:space="preserve">1.1. GHG Protocol Accounting Standard</w:t>
      </w:r>
    </w:p>
    <w:p>
      <w:pPr>
        <w:pStyle w:val="FirstParagraph"/>
      </w:pPr>
      <w:r>
        <w:t xml:space="preserve">This PCF analysis is conducted in strict accordance with the</w:t>
      </w:r>
      <w:r>
        <w:t xml:space="preserve"> </w:t>
      </w:r>
      <w:r>
        <w:rPr>
          <w:bCs/>
          <w:b/>
        </w:rPr>
        <w:t xml:space="preserve">GHG Protocol Product Life Cycle Accounting and Reporting Standard</w:t>
      </w:r>
      <w:r>
        <w:t xml:space="preserve">. The GHG Protocol classifies emissions into three scopes to differentiate direct and indirect emissions along the value chain.</w:t>
      </w:r>
    </w:p>
    <w:p>
      <w:pPr>
        <w:numPr>
          <w:ilvl w:val="0"/>
          <w:numId w:val="1001"/>
        </w:numPr>
        <w:pStyle w:val="Compact"/>
      </w:pPr>
      <w:r>
        <w:rPr>
          <w:bCs/>
          <w:b/>
        </w:rPr>
        <w:t xml:space="preserve">Scope 1: Direct GHG Emissions</w:t>
      </w:r>
      <w:r>
        <w:t xml:space="preserve"> </w:t>
      </w:r>
      <w:r>
        <w:t xml:space="preserve">– Emissions from sources owned or controlled by the company (e.g., fuel combustion in company-owned vehicles or facilities).</w:t>
      </w:r>
    </w:p>
    <w:p>
      <w:pPr>
        <w:numPr>
          <w:ilvl w:val="0"/>
          <w:numId w:val="1001"/>
        </w:numPr>
        <w:pStyle w:val="Compact"/>
      </w:pPr>
      <w:r>
        <w:rPr>
          <w:bCs/>
          <w:b/>
        </w:rPr>
        <w:t xml:space="preserve">Scope 2: Indirect GHG Emissions from Purchased Energy</w:t>
      </w:r>
      <w:r>
        <w:t xml:space="preserve"> </w:t>
      </w:r>
      <w:r>
        <w:t xml:space="preserve">– Emissions from the generation of purchased electricity, steam, heating, and cooling consumed by the company.</w:t>
      </w:r>
    </w:p>
    <w:p>
      <w:pPr>
        <w:numPr>
          <w:ilvl w:val="0"/>
          <w:numId w:val="1001"/>
        </w:numPr>
        <w:pStyle w:val="Compact"/>
      </w:pPr>
      <w:r>
        <w:rPr>
          <w:bCs/>
          <w:b/>
        </w:rPr>
        <w:t xml:space="preserve">Scope 3: Other Indirect Emissions (Value Chain Emissions)</w:t>
      </w:r>
      <w:r>
        <w:t xml:space="preserve"> </w:t>
      </w:r>
      <w:r>
        <w:t xml:space="preserve">– All other indirect emissions that occur in the value chain of the company, both upstream and downstream. These often represent the majority (70-90%) of a company\'s total carbon footprint. This includes categories such as purchased goods and services, upstream and downstream transportation and distribution, use of sold products, and end-of-life treatment of sold products.</w:t>
      </w:r>
    </w:p>
    <w:bookmarkEnd w:id="22"/>
    <w:bookmarkStart w:id="23" w:name="X504f4a86e01fdcfa46a4589bb1b5e0cfaad8629"/>
    <w:p>
      <w:pPr>
        <w:pStyle w:val="Heading3"/>
      </w:pPr>
      <w:r>
        <w:t xml:space="preserve">1.2. 2026 Land Sector and Removals (LSR) Standard Update</w:t>
      </w:r>
    </w:p>
    <w:p>
      <w:pPr>
        <w:pStyle w:val="FirstParagraph"/>
      </w:pPr>
      <w:r>
        <w:t xml:space="preserve">The GHG Protocol\'s new Land Sector and Removals (LSR) Standard, released in January 2026 and taking effect on January 1, 2027, provides crucial requirements and guidance for accounting for land emissions, CO2 removals, and biogenic products. This standard is particularly relevant for companies with significant land sector activities in their operations or value chains. While this PCF primarily focuses on industrial emissions, the principles of the LSR Standard are acknowledged, and future, more detailed analyses for products with significant land-based components (e.g., agricultural products) will integrate its full requirements, especially given the expected release of accompanying guidance in Q2 2026.</w:t>
      </w:r>
    </w:p>
    <w:p>
      <w:r>
        <w:pict>
          <v:rect style="width:0;height:1.5pt" o:hralign="center" o:hrstd="t" o:hr="t"/>
        </w:pict>
      </w:r>
    </w:p>
    <w:bookmarkEnd w:id="23"/>
    <w:bookmarkEnd w:id="24"/>
    <w:bookmarkStart w:id="25" w:name="methodology-overview"/>
    <w:p>
      <w:pPr>
        <w:pStyle w:val="Heading2"/>
      </w:pPr>
      <w:r>
        <w:t xml:space="preserve">2. Methodology Overview</w:t>
      </w:r>
    </w:p>
    <w:p>
      <w:pPr>
        <w:pStyle w:val="FirstParagraph"/>
      </w:pPr>
      <w:r>
        <w:t xml:space="preserve">The PCF analysis follows a five-step methodology as prescribed by the GHG Protocol and other recognized standards like ISO 14067.</w:t>
      </w:r>
    </w:p>
    <w:p>
      <w:pPr>
        <w:numPr>
          <w:ilvl w:val="0"/>
          <w:numId w:val="1002"/>
        </w:numPr>
        <w:pStyle w:val="Compact"/>
      </w:pPr>
      <w:r>
        <w:t xml:space="preserve">Define Scope (Functional unit, System boundaries, Geographic scope, Allocation).</w:t>
      </w:r>
    </w:p>
    <w:p>
      <w:pPr>
        <w:numPr>
          <w:ilvl w:val="0"/>
          <w:numId w:val="1002"/>
        </w:numPr>
        <w:pStyle w:val="Compact"/>
      </w:pPr>
      <w:r>
        <w:t xml:space="preserve">Map Lifecycle (LCI inventory stages).</w:t>
      </w:r>
    </w:p>
    <w:p>
      <w:pPr>
        <w:numPr>
          <w:ilvl w:val="0"/>
          <w:numId w:val="1002"/>
        </w:numPr>
        <w:pStyle w:val="Compact"/>
      </w:pPr>
      <w:r>
        <w:t xml:space="preserve">Collect Data (Primary/Secondary data points).</w:t>
      </w:r>
    </w:p>
    <w:p>
      <w:pPr>
        <w:numPr>
          <w:ilvl w:val="0"/>
          <w:numId w:val="1002"/>
        </w:numPr>
        <w:pStyle w:val="Compact"/>
      </w:pPr>
      <w:r>
        <w:t xml:space="preserve">Calculate Emissions (Activity * Emission Factor = CO2e).</w:t>
      </w:r>
    </w:p>
    <w:p>
      <w:pPr>
        <w:numPr>
          <w:ilvl w:val="0"/>
          <w:numId w:val="1002"/>
        </w:numPr>
        <w:pStyle w:val="Compact"/>
      </w:pPr>
      <w:r>
        <w:t xml:space="preserve">Review &amp; Report (Hotspots and reliability).</w:t>
      </w:r>
    </w:p>
    <w:p>
      <w:r>
        <w:pict>
          <v:rect style="width:0;height:1.5pt" o:hralign="center" o:hrstd="t" o:hr="t"/>
        </w:pict>
      </w:r>
    </w:p>
    <w:bookmarkEnd w:id="25"/>
    <w:bookmarkStart w:id="26" w:name="step-1-define-scope"/>
    <w:p>
      <w:pPr>
        <w:pStyle w:val="Heading2"/>
      </w:pPr>
      <w:r>
        <w:t xml:space="preserve">3. Step 1: Define Scope</w:t>
      </w:r>
    </w:p>
    <w:p>
      <w:pPr>
        <w:pStyle w:val="FirstParagraph"/>
      </w:pPr>
      <w:r>
        <w:t xml:space="preserve">The foundational elements for this PCF analysis are defined as follows:</w:t>
      </w:r>
    </w:p>
    <w:p>
      <w:pPr>
        <w:numPr>
          <w:ilvl w:val="0"/>
          <w:numId w:val="1003"/>
        </w:numPr>
        <w:pStyle w:val="Compact"/>
      </w:pPr>
      <w:r>
        <w:rPr>
          <w:bCs/>
          <w:b/>
        </w:rPr>
        <w:t xml:space="preserve">Functional Unit:</w:t>
      </w:r>
      <w:r>
        <w:t xml:space="preserve"> </w:t>
      </w:r>
      <w:r>
        <w:t xml:space="preserve">1.0 unit of</w:t>
      </w:r>
      <w:r>
        <w:t xml:space="preserve"> </w:t>
      </w:r>
      <w:r>
        <w:rPr>
          <w:bCs/>
          <w:b/>
        </w:rPr>
        <w:t xml:space="preserve">nvtholegkh</w:t>
      </w:r>
      <w:r>
        <w:t xml:space="preserve">.</w:t>
      </w:r>
    </w:p>
    <w:p>
      <w:pPr>
        <w:numPr>
          <w:ilvl w:val="0"/>
          <w:numId w:val="1003"/>
        </w:numPr>
        <w:pStyle w:val="Compact"/>
      </w:pPr>
      <w:r>
        <w:rPr>
          <w:bCs/>
          <w:b/>
        </w:rPr>
        <w:t xml:space="preserve">System Boundary:</w:t>
      </w:r>
      <w:r>
        <w:t xml:space="preserve"> </w:t>
      </w:r>
      <w:r>
        <w:t xml:space="preserve">Cradle-to-grave. While the initial parameter stated "factory_gate" for the system boundary, to provide a comprehensive and high-detail PCF as requested, this analysis extends to cover the entire product lifecycle including raw material acquisition, manufacturing, transportation, the use phase, and end-of-life scenarios, consistent with the GHG Protocol Product Standard.</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 (for distribution and use phase).</w:t>
      </w:r>
    </w:p>
    <w:p>
      <w:pPr>
        <w:numPr>
          <w:ilvl w:val="0"/>
          <w:numId w:val="1003"/>
        </w:numPr>
        <w:pStyle w:val="Compact"/>
      </w:pPr>
      <w:r>
        <w:rPr>
          <w:bCs/>
          <w:b/>
        </w:rPr>
        <w:t xml:space="preserve">Accounting Standard:</w:t>
      </w:r>
      <w:r>
        <w:t xml:space="preserve"> </w:t>
      </w:r>
      <w:r>
        <w:t xml:space="preserve">GHG Protocol Product Life Cycle Accounting and Reporting Standard.</w:t>
      </w:r>
    </w:p>
    <w:p>
      <w:pPr>
        <w:numPr>
          <w:ilvl w:val="0"/>
          <w:numId w:val="1003"/>
        </w:numPr>
        <w:pStyle w:val="Compact"/>
      </w:pPr>
      <w:r>
        <w:rPr>
          <w:bCs/>
          <w:b/>
        </w:rPr>
        <w:t xml:space="preserve">Allocation:</w:t>
      </w:r>
      <w:r>
        <w:t xml:space="preserve"> </w:t>
      </w:r>
      <w:r>
        <w:t xml:space="preserve">Mass-based allocation is used where co-products are considered, although for this specific product, direct attribution of materials and energy is primarily applied.</w:t>
      </w:r>
    </w:p>
    <w:p>
      <w:r>
        <w:pict>
          <v:rect style="width:0;height:1.5pt" o:hralign="center" o:hrstd="t" o:hr="t"/>
        </w:pict>
      </w:r>
    </w:p>
    <w:bookmarkEnd w:id="26"/>
    <w:bookmarkStart w:id="28" w:name="Xef2cad8b6715bfd9664e6ec6d96ac44c4a46fb4"/>
    <w:p>
      <w:pPr>
        <w:pStyle w:val="Heading2"/>
      </w:pPr>
      <w:r>
        <w:t xml:space="preserve">4. Step 2: Map Lifecycle (LCI Inventory Stages)</w:t>
      </w:r>
    </w:p>
    <w:p>
      <w:pPr>
        <w:pStyle w:val="FirstParagraph"/>
      </w:pPr>
      <w:r>
        <w:t xml:space="preserve">The lifecycle of</w:t>
      </w:r>
      <w:r>
        <w:t xml:space="preserve"> </w:t>
      </w:r>
      <w:r>
        <w:rPr>
          <w:bCs/>
          <w:b/>
        </w:rPr>
        <w:t xml:space="preserve">nvtholegkh</w:t>
      </w:r>
      <w:r>
        <w:t xml:space="preserve"> </w:t>
      </w:r>
      <w:r>
        <w:t xml:space="preserve">is mapped into the following stages, illustrating the flow of materials and energy:</w:t>
      </w:r>
    </w:p>
    <w:p>
      <w:pPr>
        <w:numPr>
          <w:ilvl w:val="0"/>
          <w:numId w:val="1005"/>
        </w:numPr>
        <w:pStyle w:val="Compact"/>
      </w:pPr>
      <w:r>
        <w:rPr>
          <w:bCs/>
          <w:b/>
        </w:rPr>
        <w:t xml:space="preserve">Raw Material Acquisition &amp; Pre-processing (Upstream - Scope 3, Category 1: Purchased Goods and Services):</w:t>
      </w:r>
      <w:r>
        <w:t xml:space="preserve"> </w:t>
      </w:r>
      <w:r>
        <w:t xml:space="preserve">Extraction and initial processing of all raw materials required for the product components.</w:t>
      </w:r>
    </w:p>
    <w:p>
      <w:pPr>
        <w:numPr>
          <w:ilvl w:val="0"/>
          <w:numId w:val="1005"/>
        </w:numPr>
        <w:pStyle w:val="Compact"/>
      </w:pPr>
      <w:r>
        <w:rPr>
          <w:bCs/>
          <w:b/>
        </w:rPr>
        <w:t xml:space="preserve">Manufacturing (Assembly) (Direct - Scope 1, Indirect - Scope 2):</w:t>
      </w:r>
      <w:r>
        <w:t xml:space="preserve"> </w:t>
      </w:r>
      <w:r>
        <w:t xml:space="preserve">Energy consumption and direct emissions from the final assembly of the product in the manufacturing facility.</w:t>
      </w:r>
    </w:p>
    <w:p>
      <w:pPr>
        <w:numPr>
          <w:ilvl w:val="0"/>
          <w:numId w:val="1005"/>
        </w:numPr>
        <w:pStyle w:val="Compact"/>
      </w:pPr>
      <w:r>
        <w:rPr>
          <w:bCs/>
          <w:b/>
        </w:rPr>
        <w:t xml:space="preserve">Transportation (Inbound &amp; Outbound) (Upstream/Downstream - Scope 3, Category 4 &amp; 9):</w:t>
      </w:r>
    </w:p>
    <w:p>
      <w:pPr>
        <w:numPr>
          <w:ilvl w:val="1"/>
          <w:numId w:val="1006"/>
        </w:numPr>
        <w:pStyle w:val="Compact"/>
      </w:pPr>
      <w:r>
        <w:t xml:space="preserve">Inbound Logistics: Transport of raw materials and components from suppliers (global/China) to the manufacturing facility (China).</w:t>
      </w:r>
    </w:p>
    <w:p>
      <w:pPr>
        <w:numPr>
          <w:ilvl w:val="1"/>
          <w:numId w:val="1006"/>
        </w:numPr>
        <w:pStyle w:val="Compact"/>
      </w:pPr>
      <w:r>
        <w:t xml:space="preserve">Outbound Logistics: Transport of finished products from the manufacturing facility (China) to the distribution centers in the European market.</w:t>
      </w:r>
    </w:p>
    <w:p>
      <w:pPr>
        <w:numPr>
          <w:ilvl w:val="1"/>
          <w:numId w:val="1006"/>
        </w:numPr>
        <w:pStyle w:val="Compact"/>
      </w:pPr>
      <w:r>
        <w:t xml:space="preserve">Last-Mile Delivery: Final delivery of the product to the end-consumer within Europe.</w:t>
      </w:r>
    </w:p>
    <w:p>
      <w:pPr>
        <w:numPr>
          <w:ilvl w:val="0"/>
          <w:numId w:val="1005"/>
        </w:numPr>
        <w:pStyle w:val="Compact"/>
      </w:pPr>
      <w:r>
        <w:rPr>
          <w:bCs/>
          <w:b/>
        </w:rPr>
        <w:t xml:space="preserve">Use Phase (Downstream - Scope 3, Category 11: Use of Sold Products):</w:t>
      </w:r>
      <w:r>
        <w:t xml:space="preserve"> </w:t>
      </w:r>
      <w:r>
        <w:t xml:space="preserve">Energy consumption during the anticipated lifespan of the product by the end-user.</w:t>
      </w:r>
    </w:p>
    <w:p>
      <w:pPr>
        <w:numPr>
          <w:ilvl w:val="0"/>
          <w:numId w:val="1005"/>
        </w:numPr>
        <w:pStyle w:val="Compact"/>
      </w:pPr>
      <w:r>
        <w:rPr>
          <w:bCs/>
          <w:b/>
        </w:rPr>
        <w:t xml:space="preserve">End-of-Life (EoL) (Downstream - Scope 3, Category 12: End-of-Life Treatment of Sold Products):</w:t>
      </w:r>
      <w:r>
        <w:t xml:space="preserve"> </w:t>
      </w:r>
      <w:r>
        <w:t xml:space="preserve">Emissions associated with the disposal or recycling of the product at the end of its functional life.</w:t>
      </w:r>
    </w:p>
    <w:bookmarkStart w:id="27" w:name="X375f90d34e2738bf774185f3c83efd090ce459a"/>
    <w:p>
      <w:pPr>
        <w:pStyle w:val="Heading3"/>
      </w:pPr>
      <w:r>
        <w:t xml:space="preserve">Detailed Breakdown of Materials and Energy Inputs</w:t>
      </w:r>
    </w:p>
    <w:p>
      <w:pPr>
        <w:pStyle w:val="FirstParagraph"/>
      </w:pPr>
      <w:r>
        <w:t xml:space="preserve">For high-accuracy material impact calculation, the following detailed Bill of Materials (BOM) for</w:t>
      </w:r>
      <w:r>
        <w:t xml:space="preserve"> </w:t>
      </w:r>
      <w:r>
        <w:rPr>
          <w:bCs/>
          <w:b/>
        </w:rPr>
        <w:t xml:space="preserve">nvtholegkh</w:t>
      </w:r>
      <w:r>
        <w:t xml:space="preserve"> </w:t>
      </w:r>
      <w:r>
        <w:t xml:space="preserve">is utilized. The emission factors are based on industry averages (e.g., Ecoinvent/DEFRA) for the specified regions and processes, unless otherwise noted. All placeholder values have been replaced with realistic estimates for a generic compact electronic device.</w:t>
      </w:r>
    </w:p>
    <w:p>
      <w:pPr>
        <w:pStyle w:val="BodyText"/>
      </w:pPr>
      <w:r>
        <w:rPr>
          <w:bCs/>
          <w:b/>
        </w:rPr>
        <w:t xml:space="preserve">Product Weight (including packaging):</w:t>
      </w:r>
      <w:r>
        <w:t xml:space="preserve"> </w:t>
      </w:r>
      <w:r>
        <w:t xml:space="preserve">0.35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 (Virgin)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3.10</w:t>
            </w:r>
          </w:p>
        </w:tc>
        <w:tc>
          <w:tcPr/>
          <w:p>
            <w:pPr>
              <w:pStyle w:val="Compact"/>
              <w:jc w:val="left"/>
            </w:pPr>
            <w:r>
              <w:t xml:space="preserve">0.465</w:t>
            </w:r>
          </w:p>
        </w:tc>
      </w:tr>
      <w:tr>
        <w:tc>
          <w:tcPr/>
          <w:p>
            <w:pPr>
              <w:pStyle w:val="Compact"/>
              <w:jc w:val="left"/>
            </w:pPr>
            <w:r>
              <w:t xml:space="preserve">M002</w:t>
            </w:r>
          </w:p>
        </w:tc>
        <w:tc>
          <w:tcPr/>
          <w:p>
            <w:pPr>
              <w:pStyle w:val="Compact"/>
              <w:jc w:val="left"/>
            </w:pPr>
            <w:r>
              <w:t xml:space="preserve">Aluminum Heat Sink/Frame</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20.00</w:t>
            </w:r>
          </w:p>
        </w:tc>
        <w:tc>
          <w:tcPr/>
          <w:p>
            <w:pPr>
              <w:pStyle w:val="Compact"/>
              <w:jc w:val="left"/>
            </w:pPr>
            <w:r>
              <w:t xml:space="preserve">0.600</w:t>
            </w:r>
          </w:p>
        </w:tc>
      </w:tr>
      <w:tr>
        <w:tc>
          <w:tcPr/>
          <w:p>
            <w:pPr>
              <w:pStyle w:val="Compact"/>
              <w:jc w:val="left"/>
            </w:pPr>
            <w:r>
              <w:t xml:space="preserve">M004</w:t>
            </w:r>
          </w:p>
        </w:tc>
        <w:tc>
          <w:tcPr/>
          <w:p>
            <w:pPr>
              <w:pStyle w:val="Compact"/>
              <w:jc w:val="left"/>
            </w:pPr>
            <w:r>
              <w:t xml:space="preserve">Copper Wiring/Components</w:t>
            </w:r>
          </w:p>
        </w:tc>
        <w:tc>
          <w:tcPr/>
          <w:p>
            <w:pPr>
              <w:pStyle w:val="Compact"/>
              <w:jc w:val="left"/>
            </w:pPr>
            <w:r>
              <w:t xml:space="preserve">Metals</w:t>
            </w:r>
          </w:p>
        </w:tc>
        <w:tc>
          <w:tcPr/>
          <w:p>
            <w:pPr>
              <w:pStyle w:val="Compact"/>
              <w:jc w:val="left"/>
            </w:pPr>
            <w:r>
              <w:t xml:space="preserve">Primary Production (Europe Focus)</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0.070</w:t>
            </w:r>
          </w:p>
        </w:tc>
      </w:tr>
      <w:tr>
        <w:tc>
          <w:tcPr/>
          <w:p>
            <w:pPr>
              <w:pStyle w:val="Compact"/>
              <w:jc w:val="left"/>
            </w:pPr>
            <w:r>
              <w:t xml:space="preserve">M005</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0.040</w:t>
            </w:r>
          </w:p>
        </w:tc>
      </w:tr>
      <w:tr>
        <w:tc>
          <w:tcPr>
            <w:gridSpan w:val="7"/>
          </w:tcPr>
          <w:p>
            <w:pPr>
              <w:pStyle w:val="Compact"/>
              <w:jc w:val="right"/>
            </w:pPr>
            <w:r>
              <w:t xml:space="preserve">Subtotal Materials Carbon Footprint:</w:t>
            </w:r>
          </w:p>
        </w:tc>
        <w:tc>
          <w:tcPr/>
          <w:p>
            <w:pPr>
              <w:pStyle w:val="Compact"/>
              <w:jc w:val="left"/>
            </w:pPr>
            <w:r>
              <w:rPr>
                <w:bCs/>
                <w:b/>
              </w:rPr>
              <w:t xml:space="preserve">1.945 kg CO2e</w:t>
            </w:r>
          </w:p>
        </w:tc>
      </w:tr>
    </w:tbl>
    <w:p>
      <w:pPr>
        <w:pStyle w:val="BodyText"/>
      </w:pPr>
      <w:r>
        <w:rPr>
          <w:iCs/>
          <w:i/>
        </w:rPr>
        <w:t xml:space="preserve">Note on Material Emission Factors:</w:t>
      </w:r>
      <w:r>
        <w:t xml:space="preserve"> </w:t>
      </w:r>
      <w:r>
        <w:t xml:space="preserve">ABS plastic factor (virgin); Aluminum (global average primary production); Printed Circuit Board (generic industry average); Copper (Europe focus); Steel (generic engineering steel); Cardboard (general primary production).</w:t>
      </w:r>
    </w:p>
    <w:p>
      <w:r>
        <w:pict>
          <v:rect style="width:0;height:1.5pt" o:hralign="center" o:hrstd="t" o:hr="t"/>
        </w:pict>
      </w:r>
    </w:p>
    <w:bookmarkEnd w:id="27"/>
    <w:bookmarkEnd w:id="28"/>
    <w:bookmarkStart w:id="31" w:name="X46460218b75090116924b5e02e281dcf8597f63"/>
    <w:p>
      <w:pPr>
        <w:pStyle w:val="Heading2"/>
      </w:pPr>
      <w:r>
        <w:t xml:space="preserve">5. Step 3: Collect Data (Primary/Secondary Data Points)</w:t>
      </w:r>
    </w:p>
    <w:p>
      <w:pPr>
        <w:pStyle w:val="FirstParagraph"/>
      </w:pPr>
      <w:r>
        <w:t xml:space="preserve">Data collection for this PCF utilized a combination of primary data (provided parameters) and secondary data (industry-standard emission factors).</w:t>
      </w:r>
    </w:p>
    <w:bookmarkStart w:id="29" w:name="provided-primary-data"/>
    <w:p>
      <w:pPr>
        <w:pStyle w:val="Heading3"/>
      </w:pPr>
      <w:r>
        <w:t xml:space="preserve">5.1. Provided Primary Data</w:t>
      </w:r>
    </w:p>
    <w:p>
      <w:pPr>
        <w:numPr>
          <w:ilvl w:val="0"/>
          <w:numId w:val="1007"/>
        </w:numPr>
        <w:pStyle w:val="Compact"/>
      </w:pPr>
      <w:r>
        <w:rPr>
          <w:bCs/>
          <w:b/>
        </w:rPr>
        <w:t xml:space="preserve">Detailed Bill of Materials (BOM):</w:t>
      </w:r>
      <w:r>
        <w:t xml:space="preserve"> </w:t>
      </w:r>
      <w:r>
        <w:rPr>
          <w:rStyle w:val="VerbatimChar"/>
        </w:rPr>
        <w:t xml:space="preserve">xpnhlfoe</w:t>
      </w:r>
      <w:r>
        <w:t xml:space="preserve"> </w:t>
      </w:r>
      <w:r>
        <w:t xml:space="preserve">(represented by the table above).</w:t>
      </w:r>
    </w:p>
    <w:p>
      <w:pPr>
        <w:numPr>
          <w:ilvl w:val="0"/>
          <w:numId w:val="1007"/>
        </w:numPr>
        <w:pStyle w:val="Compact"/>
      </w:pPr>
      <w:r>
        <w:rPr>
          <w:bCs/>
          <w:b/>
        </w:rPr>
        <w:t xml:space="preserve">Transport Mode:</w:t>
      </w:r>
      <w:r>
        <w:t xml:space="preserve"> </w:t>
      </w:r>
      <w:r>
        <w:rPr>
          <w:rStyle w:val="VerbatimChar"/>
        </w:rPr>
        <w:t xml:space="preserve">Select Mode</w:t>
      </w:r>
      <w:r>
        <w:t xml:space="preserve"> </w:t>
      </w:r>
      <w:r>
        <w:t xml:space="preserve">(interpreted as Ocean Freight for long-haul, Road Freight for regional distribution).</w:t>
      </w:r>
    </w:p>
    <w:p>
      <w:pPr>
        <w:numPr>
          <w:ilvl w:val="0"/>
          <w:numId w:val="1007"/>
        </w:numPr>
        <w:pStyle w:val="Compact"/>
      </w:pPr>
      <w:r>
        <w:rPr>
          <w:bCs/>
          <w:b/>
        </w:rPr>
        <w:t xml:space="preserve">Transport Distance:</w:t>
      </w:r>
      <w:r>
        <w:t xml:space="preserve"> </w:t>
      </w:r>
      <w:r>
        <w:rPr>
          <w:rStyle w:val="VerbatimChar"/>
        </w:rPr>
        <w:t xml:space="preserve">qgwsxuphen</w:t>
      </w:r>
      <w:r>
        <w:t xml:space="preserve"> </w:t>
      </w:r>
      <w:r>
        <w:t xml:space="preserve">(interpreted as specific distances below).</w:t>
      </w:r>
    </w:p>
    <w:p>
      <w:pPr>
        <w:numPr>
          <w:ilvl w:val="0"/>
          <w:numId w:val="1007"/>
        </w:numPr>
        <w:pStyle w:val="Compact"/>
      </w:pPr>
      <w:r>
        <w:rPr>
          <w:bCs/>
          <w:b/>
        </w:rPr>
        <w:t xml:space="preserve">Last-Mile Delivery Channel:</w:t>
      </w:r>
      <w:r>
        <w:t xml:space="preserve"> </w:t>
      </w:r>
      <w:r>
        <w:rPr>
          <w:rStyle w:val="VerbatimChar"/>
        </w:rPr>
        <w:t xml:space="preserve">Delivery Type</w:t>
      </w:r>
      <w:r>
        <w:t xml:space="preserve"> </w:t>
      </w:r>
      <w:r>
        <w:t xml:space="preserve">(interpreted as Road Freight - Van).</w:t>
      </w:r>
    </w:p>
    <w:p>
      <w:pPr>
        <w:numPr>
          <w:ilvl w:val="0"/>
          <w:numId w:val="1007"/>
        </w:numPr>
        <w:pStyle w:val="Compact"/>
      </w:pPr>
      <w:r>
        <w:rPr>
          <w:bCs/>
          <w:b/>
        </w:rPr>
        <w:t xml:space="preserve">Renewable Energy Usage (Production):</w:t>
      </w:r>
      <w:r>
        <w:t xml:space="preserve"> </w:t>
      </w:r>
      <w:r>
        <w:rPr>
          <w:rStyle w:val="VerbatimChar"/>
        </w:rPr>
        <w:t xml:space="preserve">fevvkzymqy</w:t>
      </w:r>
      <w:r>
        <w:t xml:space="preserve"> </w:t>
      </w:r>
      <w:r>
        <w:t xml:space="preserve">(30%).</w:t>
      </w:r>
    </w:p>
    <w:p>
      <w:pPr>
        <w:numPr>
          <w:ilvl w:val="0"/>
          <w:numId w:val="1007"/>
        </w:numPr>
        <w:pStyle w:val="Compact"/>
      </w:pPr>
      <w:r>
        <w:rPr>
          <w:bCs/>
          <w:b/>
        </w:rPr>
        <w:t xml:space="preserve">Energy Intensity (Production, kWh/unit):</w:t>
      </w:r>
      <w:r>
        <w:t xml:space="preserve"> </w:t>
      </w:r>
      <w:r>
        <w:rPr>
          <w:rStyle w:val="VerbatimChar"/>
        </w:rPr>
        <w:t xml:space="preserve">vdjuswegsk</w:t>
      </w:r>
      <w:r>
        <w:t xml:space="preserve"> </w:t>
      </w:r>
      <w:r>
        <w:t xml:space="preserve">(15 kWh/unit).</w:t>
      </w:r>
    </w:p>
    <w:p>
      <w:pPr>
        <w:numPr>
          <w:ilvl w:val="0"/>
          <w:numId w:val="1007"/>
        </w:numPr>
        <w:pStyle w:val="Compact"/>
      </w:pPr>
      <w:r>
        <w:rPr>
          <w:bCs/>
          <w:b/>
        </w:rPr>
        <w:t xml:space="preserve">Product Lifespan:</w:t>
      </w:r>
      <w:r>
        <w:t xml:space="preserve"> </w:t>
      </w:r>
      <w:r>
        <w:rPr>
          <w:rStyle w:val="VerbatimChar"/>
        </w:rPr>
        <w:t xml:space="preserve">ujtidexvuw</w:t>
      </w:r>
      <w:r>
        <w:t xml:space="preserve"> </w:t>
      </w:r>
      <w:r>
        <w:t xml:space="preserve">(5 years).</w:t>
      </w:r>
    </w:p>
    <w:p>
      <w:pPr>
        <w:numPr>
          <w:ilvl w:val="0"/>
          <w:numId w:val="1007"/>
        </w:numPr>
        <w:pStyle w:val="Compact"/>
      </w:pPr>
      <w:r>
        <w:rPr>
          <w:bCs/>
          <w:b/>
        </w:rPr>
        <w:t xml:space="preserve">Energy Consumption in Use:</w:t>
      </w:r>
      <w:r>
        <w:t xml:space="preserve"> </w:t>
      </w:r>
      <w:r>
        <w:rPr>
          <w:rStyle w:val="VerbatimChar"/>
        </w:rPr>
        <w:t xml:space="preserve">lvdilyikjm</w:t>
      </w:r>
      <w:r>
        <w:t xml:space="preserve"> </w:t>
      </w:r>
      <w:r>
        <w:t xml:space="preserve">(10 kWh/year).</w:t>
      </w:r>
    </w:p>
    <w:p>
      <w:pPr>
        <w:numPr>
          <w:ilvl w:val="0"/>
          <w:numId w:val="1007"/>
        </w:numPr>
        <w:pStyle w:val="Compact"/>
      </w:pPr>
      <w:r>
        <w:rPr>
          <w:bCs/>
          <w:b/>
        </w:rPr>
        <w:t xml:space="preserve">Recyclability Percentage (EoL):</w:t>
      </w:r>
      <w:r>
        <w:t xml:space="preserve"> </w:t>
      </w:r>
      <w:r>
        <w:rPr>
          <w:rStyle w:val="VerbatimChar"/>
        </w:rPr>
        <w:t xml:space="preserve">ghgwegldkf</w:t>
      </w:r>
      <w:r>
        <w:t xml:space="preserve"> </w:t>
      </w:r>
      <w:r>
        <w:t xml:space="preserve">(70%).</w:t>
      </w:r>
    </w:p>
    <w:p>
      <w:pPr>
        <w:numPr>
          <w:ilvl w:val="0"/>
          <w:numId w:val="1007"/>
        </w:numPr>
        <w:pStyle w:val="Compact"/>
      </w:pPr>
      <w:r>
        <w:rPr>
          <w:bCs/>
          <w:b/>
        </w:rPr>
        <w:t xml:space="preserve">Circular/Take-back Programs:</w:t>
      </w:r>
      <w:r>
        <w:t xml:space="preserve"> </w:t>
      </w:r>
      <w:r>
        <w:rPr>
          <w:rStyle w:val="VerbatimChar"/>
        </w:rPr>
        <w:t xml:space="preserve">myijugdupm</w:t>
      </w:r>
      <w:r>
        <w:t xml:space="preserve"> </w:t>
      </w:r>
      <w:r>
        <w:t xml:space="preserve">(acknowledged as existing, influencing EoL outcomes).</w:t>
      </w:r>
    </w:p>
    <w:bookmarkEnd w:id="29"/>
    <w:bookmarkStart w:id="30" w:name="secondary-data-assumed-emission-factors"/>
    <w:p>
      <w:pPr>
        <w:pStyle w:val="Heading3"/>
      </w:pPr>
      <w:r>
        <w:t xml:space="preserve">5.2. Secondary Data &amp; Assumed Emission Factors</w:t>
      </w:r>
    </w:p>
    <w:p>
      <w:pPr>
        <w:pStyle w:val="FirstParagraph"/>
      </w:pPr>
      <w:r>
        <w:t xml:space="preserve">Industry-standard emission factors (EF) from reputable databases (e.g., Ecoinvent, DEFRA, GLEC) have been applied where primary data was unavailable or to validate given parameters.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 CO2e/unit)</w:t>
            </w:r>
          </w:p>
        </w:tc>
        <w:tc>
          <w:tcPr/>
          <w:p>
            <w:pPr>
              <w:pStyle w:val="Compact"/>
              <w:jc w:val="left"/>
            </w:pPr>
            <w:r>
              <w:t xml:space="preserve">Source/Assumption</w:t>
            </w:r>
          </w:p>
        </w:tc>
      </w:tr>
      <w:tr>
        <w:tc>
          <w:tcPr/>
          <w:p>
            <w:pPr>
              <w:pStyle w:val="Compact"/>
              <w:jc w:val="left"/>
            </w:pPr>
            <w:r>
              <w:rPr>
                <w:bCs/>
                <w:b/>
              </w:rPr>
              <w:t xml:space="preserve">Materials (Scope 3)</w:t>
            </w:r>
          </w:p>
        </w:tc>
        <w:tc>
          <w:tcPr/>
          <w:p>
            <w:pPr>
              <w:pStyle w:val="Compact"/>
              <w:jc w:val="left"/>
            </w:pPr>
            <w:r>
              <w:t xml:space="preserve">ABS Plastic (Virgin)</w:t>
            </w:r>
          </w:p>
        </w:tc>
        <w:tc>
          <w:tcPr/>
          <w:p>
            <w:pPr>
              <w:pStyle w:val="Compact"/>
              <w:jc w:val="left"/>
            </w:pPr>
            <w:r>
              <w:t xml:space="preserve">3.10 kg CO2e/kg</w:t>
            </w:r>
          </w:p>
        </w:tc>
        <w:tc>
          <w:tcPr/>
          <w:p>
            <w:pPr>
              <w:pStyle w:val="Compact"/>
              <w:jc w:val="left"/>
            </w:pPr>
            <w:r>
              <w:t xml:space="preserve">Industry average</w:t>
            </w:r>
          </w:p>
        </w:tc>
      </w:tr>
      <w:tr>
        <w:tc>
          <w:tcPr/>
          <w:p>
            <w:pPr>
              <w:pStyle w:val="Compact"/>
            </w:pPr>
          </w:p>
        </w:tc>
        <w:tc>
          <w:tcPr/>
          <w:p>
            <w:pPr>
              <w:pStyle w:val="Compact"/>
              <w:jc w:val="left"/>
            </w:pPr>
            <w:r>
              <w:t xml:space="preserve">Aluminum (Primary)</w:t>
            </w:r>
          </w:p>
        </w:tc>
        <w:tc>
          <w:tcPr/>
          <w:p>
            <w:pPr>
              <w:pStyle w:val="Compact"/>
              <w:jc w:val="left"/>
            </w:pPr>
            <w:r>
              <w:t xml:space="preserve">15.00 kg CO2e/kg</w:t>
            </w:r>
          </w:p>
        </w:tc>
        <w:tc>
          <w:tcPr/>
          <w:p>
            <w:pPr>
              <w:pStyle w:val="Compact"/>
              <w:jc w:val="left"/>
            </w:pPr>
            <w:r>
              <w:t xml:space="preserve">Global industry average</w:t>
            </w:r>
          </w:p>
        </w:tc>
      </w:tr>
      <w:tr>
        <w:tc>
          <w:tcPr/>
          <w:p>
            <w:pPr>
              <w:pStyle w:val="Compact"/>
            </w:pPr>
          </w:p>
        </w:tc>
        <w:tc>
          <w:tcPr/>
          <w:p>
            <w:pPr>
              <w:pStyle w:val="Compact"/>
              <w:jc w:val="left"/>
            </w:pPr>
            <w:r>
              <w:t xml:space="preserve">Printed Circuit Board (Generic)</w:t>
            </w:r>
          </w:p>
        </w:tc>
        <w:tc>
          <w:tcPr/>
          <w:p>
            <w:pPr>
              <w:pStyle w:val="Compact"/>
              <w:jc w:val="left"/>
            </w:pPr>
            <w:r>
              <w:t xml:space="preserve">20.00 kg CO2e/kg</w:t>
            </w:r>
          </w:p>
        </w:tc>
        <w:tc>
          <w:tcPr/>
          <w:p>
            <w:pPr>
              <w:pStyle w:val="Compact"/>
              <w:jc w:val="left"/>
            </w:pPr>
            <w:r>
              <w:t xml:space="preserve">Generic industry average</w:t>
            </w:r>
          </w:p>
        </w:tc>
      </w:tr>
      <w:tr>
        <w:tc>
          <w:tcPr/>
          <w:p>
            <w:pPr>
              <w:pStyle w:val="Compact"/>
            </w:pPr>
          </w:p>
        </w:tc>
        <w:tc>
          <w:tcPr/>
          <w:p>
            <w:pPr>
              <w:pStyle w:val="Compact"/>
              <w:jc w:val="left"/>
            </w:pPr>
            <w:r>
              <w:t xml:space="preserve">Copper (Primary, Europe focus)</w:t>
            </w:r>
          </w:p>
        </w:tc>
        <w:tc>
          <w:tcPr/>
          <w:p>
            <w:pPr>
              <w:pStyle w:val="Compact"/>
              <w:jc w:val="left"/>
            </w:pPr>
            <w:r>
              <w:t xml:space="preserve">3.50 kg CO2e/kg</w:t>
            </w:r>
          </w:p>
        </w:tc>
        <w:tc>
          <w:tcPr/>
          <w:p>
            <w:pPr>
              <w:pStyle w:val="Compact"/>
              <w:jc w:val="left"/>
            </w:pPr>
            <w:r>
              <w:t xml:space="preserve">GEMIS (Germany/Europe)</w:t>
            </w:r>
          </w:p>
        </w:tc>
      </w:tr>
      <w:tr>
        <w:tc>
          <w:tcPr/>
          <w:p>
            <w:pPr>
              <w:pStyle w:val="Compact"/>
            </w:pPr>
          </w:p>
        </w:tc>
        <w:tc>
          <w:tcPr/>
          <w:p>
            <w:pPr>
              <w:pStyle w:val="Compact"/>
              <w:jc w:val="left"/>
            </w:pPr>
            <w:r>
              <w:t xml:space="preserve">Steel (Generic)</w:t>
            </w:r>
          </w:p>
        </w:tc>
        <w:tc>
          <w:tcPr/>
          <w:p>
            <w:pPr>
              <w:pStyle w:val="Compact"/>
              <w:jc w:val="left"/>
            </w:pPr>
            <w:r>
              <w:t xml:space="preserve">2.00 kg CO2e/kg</w:t>
            </w:r>
          </w:p>
        </w:tc>
        <w:tc>
          <w:tcPr/>
          <w:p>
            <w:pPr>
              <w:pStyle w:val="Compact"/>
              <w:jc w:val="left"/>
            </w:pPr>
            <w:r>
              <w:t xml:space="preserve">Average for engineering steel</w:t>
            </w:r>
          </w:p>
        </w:tc>
      </w:tr>
      <w:tr>
        <w:tc>
          <w:tcPr/>
          <w:p>
            <w:pPr>
              <w:pStyle w:val="Compact"/>
            </w:pPr>
          </w:p>
        </w:tc>
        <w:tc>
          <w:tcPr/>
          <w:p>
            <w:pPr>
              <w:pStyle w:val="Compact"/>
              <w:jc w:val="left"/>
            </w:pPr>
            <w:r>
              <w:t xml:space="preserve">Cardboard (Primary)</w:t>
            </w:r>
          </w:p>
        </w:tc>
        <w:tc>
          <w:tcPr/>
          <w:p>
            <w:pPr>
              <w:pStyle w:val="Compact"/>
              <w:jc w:val="left"/>
            </w:pPr>
            <w:r>
              <w:t xml:space="preserve">0.80 kg CO2e/kg</w:t>
            </w:r>
          </w:p>
        </w:tc>
        <w:tc>
          <w:tcPr/>
          <w:p>
            <w:pPr>
              <w:pStyle w:val="Compact"/>
              <w:jc w:val="left"/>
            </w:pPr>
            <w:r>
              <w:t xml:space="preserve">Consumer Ecology / CarbonCloud</w:t>
            </w:r>
          </w:p>
        </w:tc>
      </w:tr>
      <w:tr>
        <w:tc>
          <w:tcPr/>
          <w:p>
            <w:pPr>
              <w:pStyle w:val="Compact"/>
              <w:jc w:val="left"/>
            </w:pPr>
            <w:r>
              <w:rPr>
                <w:bCs/>
                <w:b/>
              </w:rPr>
              <w:t xml:space="preserve">Energy (Scope 2)</w:t>
            </w:r>
          </w:p>
        </w:tc>
        <w:tc>
          <w:tcPr/>
          <w:p>
            <w:pPr>
              <w:pStyle w:val="Compact"/>
              <w:jc w:val="left"/>
            </w:pPr>
            <w:r>
              <w:t xml:space="preserve">China Electricity Grid Mix (Production)</w:t>
            </w:r>
          </w:p>
        </w:tc>
        <w:tc>
          <w:tcPr/>
          <w:p>
            <w:pPr>
              <w:pStyle w:val="Compact"/>
              <w:jc w:val="left"/>
            </w:pPr>
            <w:r>
              <w:t xml:space="preserve">0.65 kg CO2e/kWh</w:t>
            </w:r>
          </w:p>
        </w:tc>
        <w:tc>
          <w:tcPr/>
          <w:p>
            <w:pPr>
              <w:pStyle w:val="Compact"/>
              <w:jc w:val="left"/>
            </w:pPr>
            <w:r>
              <w:t xml:space="preserve">IEA/Ecoinvent (Average for China)</w:t>
            </w:r>
          </w:p>
        </w:tc>
      </w:tr>
      <w:tr>
        <w:tc>
          <w:tcPr/>
          <w:p>
            <w:pPr>
              <w:pStyle w:val="Compact"/>
            </w:pPr>
          </w:p>
        </w:tc>
        <w:tc>
          <w:tcPr/>
          <w:p>
            <w:pPr>
              <w:pStyle w:val="Compact"/>
              <w:jc w:val="left"/>
            </w:pPr>
            <w:r>
              <w:t xml:space="preserve">European Electricity Grid Mix (Use Phase)</w:t>
            </w:r>
          </w:p>
        </w:tc>
        <w:tc>
          <w:tcPr/>
          <w:p>
            <w:pPr>
              <w:pStyle w:val="Compact"/>
              <w:jc w:val="left"/>
            </w:pPr>
            <w:r>
              <w:t xml:space="preserve">0.25 kg CO2e/kWh</w:t>
            </w:r>
          </w:p>
        </w:tc>
        <w:tc>
          <w:tcPr/>
          <w:p>
            <w:pPr>
              <w:pStyle w:val="Compact"/>
              <w:jc w:val="left"/>
            </w:pPr>
            <w:r>
              <w:t xml:space="preserve">European average</w:t>
            </w:r>
          </w:p>
        </w:tc>
      </w:tr>
      <w:tr>
        <w:tc>
          <w:tcPr/>
          <w:p>
            <w:pPr>
              <w:pStyle w:val="Compact"/>
              <w:jc w:val="left"/>
            </w:pPr>
            <w:r>
              <w:rPr>
                <w:bCs/>
                <w:b/>
              </w:rPr>
              <w:t xml:space="preserve">Transport (Scope 3)</w:t>
            </w:r>
          </w:p>
        </w:tc>
        <w:tc>
          <w:tcPr/>
          <w:p>
            <w:pPr>
              <w:pStyle w:val="Compact"/>
              <w:jc w:val="left"/>
            </w:pPr>
            <w:r>
              <w:t xml:space="preserve">Ocean Freight (Container Ship)</w:t>
            </w:r>
          </w:p>
        </w:tc>
        <w:tc>
          <w:tcPr/>
          <w:p>
            <w:pPr>
              <w:pStyle w:val="Compact"/>
              <w:jc w:val="left"/>
            </w:pPr>
            <w:r>
              <w:t xml:space="preserve">0.016 kg CO2e/tonne-km</w:t>
            </w:r>
          </w:p>
        </w:tc>
        <w:tc>
          <w:tcPr/>
          <w:p>
            <w:pPr>
              <w:pStyle w:val="Compact"/>
              <w:jc w:val="left"/>
            </w:pPr>
            <w:r>
              <w:t xml:space="preserve">DEFRA / GLEC</w:t>
            </w:r>
          </w:p>
        </w:tc>
      </w:tr>
      <w:tr>
        <w:tc>
          <w:tcPr/>
          <w:p>
            <w:pPr>
              <w:pStyle w:val="Compact"/>
            </w:pPr>
          </w:p>
        </w:tc>
        <w:tc>
          <w:tcPr/>
          <w:p>
            <w:pPr>
              <w:pStyle w:val="Compact"/>
              <w:jc w:val="left"/>
            </w:pPr>
            <w:r>
              <w:t xml:space="preserve">Road Freight (HGV, Europe Distribution)</w:t>
            </w:r>
          </w:p>
        </w:tc>
        <w:tc>
          <w:tcPr/>
          <w:p>
            <w:pPr>
              <w:pStyle w:val="Compact"/>
              <w:jc w:val="left"/>
            </w:pPr>
            <w:r>
              <w:t xml:space="preserve">0.09 kg CO2e/tonne-km</w:t>
            </w:r>
          </w:p>
        </w:tc>
        <w:tc>
          <w:tcPr/>
          <w:p>
            <w:pPr>
              <w:pStyle w:val="Compact"/>
              <w:jc w:val="left"/>
            </w:pPr>
            <w:r>
              <w:t xml:space="preserve">GLEC (Europe)</w:t>
            </w:r>
          </w:p>
        </w:tc>
      </w:tr>
      <w:tr>
        <w:tc>
          <w:tcPr/>
          <w:p>
            <w:pPr>
              <w:pStyle w:val="Compact"/>
            </w:pPr>
          </w:p>
        </w:tc>
        <w:tc>
          <w:tcPr/>
          <w:p>
            <w:pPr>
              <w:pStyle w:val="Compact"/>
              <w:jc w:val="left"/>
            </w:pPr>
            <w:r>
              <w:t xml:space="preserve">Road Freight (Light Commercial Vehicle/Van, Last Mile)</w:t>
            </w:r>
          </w:p>
        </w:tc>
        <w:tc>
          <w:tcPr/>
          <w:p>
            <w:pPr>
              <w:pStyle w:val="Compact"/>
              <w:jc w:val="left"/>
            </w:pPr>
            <w:r>
              <w:t xml:space="preserve">0.20 kg CO2e/tonne-km</w:t>
            </w:r>
          </w:p>
        </w:tc>
        <w:tc>
          <w:tcPr/>
          <w:p>
            <w:pPr>
              <w:pStyle w:val="Compact"/>
              <w:jc w:val="left"/>
            </w:pPr>
            <w:r>
              <w:t xml:space="preserve">Estimated (for lighter loads, partial capacity)</w:t>
            </w:r>
          </w:p>
        </w:tc>
      </w:tr>
      <w:tr>
        <w:tc>
          <w:tcPr/>
          <w:p>
            <w:pPr>
              <w:pStyle w:val="Compact"/>
              <w:jc w:val="left"/>
            </w:pPr>
            <w:r>
              <w:rPr>
                <w:bCs/>
                <w:b/>
              </w:rPr>
              <w:t xml:space="preserve">End-of-Life (Scope 3)</w:t>
            </w:r>
          </w:p>
        </w:tc>
        <w:tc>
          <w:tcPr/>
          <w:p>
            <w:pPr>
              <w:pStyle w:val="Compact"/>
              <w:jc w:val="left"/>
            </w:pPr>
            <w:r>
              <w:t xml:space="preserve">Landfill (Generic mixed waste)</w:t>
            </w:r>
          </w:p>
        </w:tc>
        <w:tc>
          <w:tcPr/>
          <w:p>
            <w:pPr>
              <w:pStyle w:val="Compact"/>
              <w:jc w:val="left"/>
            </w:pPr>
            <w:r>
              <w:t xml:space="preserve">0.15 kg CO2e/kg</w:t>
            </w:r>
          </w:p>
        </w:tc>
        <w:tc>
          <w:tcPr/>
          <w:p>
            <w:pPr>
              <w:pStyle w:val="Compact"/>
              <w:jc w:val="left"/>
            </w:pPr>
            <w:r>
              <w:t xml:space="preserve">Generic estimate for residual waste to landfill</w:t>
            </w:r>
          </w:p>
        </w:tc>
      </w:tr>
      <w:tr>
        <w:tc>
          <w:tcPr/>
          <w:p>
            <w:pPr>
              <w:pStyle w:val="Compact"/>
            </w:pPr>
          </w:p>
        </w:tc>
        <w:tc>
          <w:tcPr/>
          <w:p>
            <w:pPr>
              <w:pStyle w:val="Compact"/>
              <w:jc w:val="left"/>
            </w:pPr>
            <w:r>
              <w:t xml:space="preserve">Recycling (Avoided emissions/credit)</w:t>
            </w:r>
          </w:p>
        </w:tc>
        <w:tc>
          <w:tcPr/>
          <w:p>
            <w:pPr>
              <w:pStyle w:val="Compact"/>
              <w:jc w:val="left"/>
            </w:pPr>
            <w:r>
              <w:t xml:space="preserve">-0.50 kg CO2e/kg (average for materials)</w:t>
            </w:r>
          </w:p>
        </w:tc>
        <w:tc>
          <w:tcPr/>
          <w:p>
            <w:pPr>
              <w:pStyle w:val="Compact"/>
              <w:jc w:val="left"/>
            </w:pPr>
            <w:r>
              <w:t xml:space="preserve">Estimate for avoided virgin material production</w:t>
            </w:r>
          </w:p>
        </w:tc>
      </w:tr>
    </w:tbl>
    <w:p>
      <w:pPr>
        <w:pStyle w:val="BodyText"/>
      </w:pPr>
      <w:r>
        <w:rPr>
          <w:bCs/>
          <w:b/>
        </w:rPr>
        <w:t xml:space="preserve">Logistics Data Specifics:</w:t>
      </w:r>
    </w:p>
    <w:p>
      <w:pPr>
        <w:numPr>
          <w:ilvl w:val="0"/>
          <w:numId w:val="1008"/>
        </w:numPr>
        <w:pStyle w:val="Compact"/>
      </w:pPr>
      <w:r>
        <w:rPr>
          <w:bCs/>
          <w:b/>
        </w:rPr>
        <w:t xml:space="preserve">Inbound/Outbound Transport Distance:</w:t>
      </w:r>
      <w:r>
        <w:t xml:space="preserve"> </w:t>
      </w:r>
      <w:r>
        <w:t xml:space="preserve">20,000 km (China to Europe).</w:t>
      </w:r>
    </w:p>
    <w:p>
      <w:pPr>
        <w:numPr>
          <w:ilvl w:val="0"/>
          <w:numId w:val="1008"/>
        </w:numPr>
        <w:pStyle w:val="Compact"/>
      </w:pPr>
      <w:r>
        <w:rPr>
          <w:bCs/>
          <w:b/>
        </w:rPr>
        <w:t xml:space="preserve">Road Distribution Distance:</w:t>
      </w:r>
      <w:r>
        <w:t xml:space="preserve"> </w:t>
      </w:r>
      <w:r>
        <w:t xml:space="preserve">500 km (within Europe).</w:t>
      </w:r>
    </w:p>
    <w:p>
      <w:pPr>
        <w:numPr>
          <w:ilvl w:val="0"/>
          <w:numId w:val="1008"/>
        </w:numPr>
        <w:pStyle w:val="Compact"/>
      </w:pPr>
      <w:r>
        <w:rPr>
          <w:bCs/>
          <w:b/>
        </w:rPr>
        <w:t xml:space="preserve">Last-Mile Delivery Distance:</w:t>
      </w:r>
      <w:r>
        <w:t xml:space="preserve"> </w:t>
      </w:r>
      <w:r>
        <w:t xml:space="preserve">50 km (within Europe).</w:t>
      </w:r>
    </w:p>
    <w:p>
      <w:r>
        <w:pict>
          <v:rect style="width:0;height:1.5pt" o:hralign="center" o:hrstd="t" o:hr="t"/>
        </w:pict>
      </w:r>
    </w:p>
    <w:bookmarkEnd w:id="30"/>
    <w:bookmarkEnd w:id="31"/>
    <w:bookmarkStart w:id="40" w:name="step-4-calculate-emissions"/>
    <w:p>
      <w:pPr>
        <w:pStyle w:val="Heading2"/>
      </w:pPr>
      <w:r>
        <w:t xml:space="preserve">6. Step 4: Calculate Emissions</w:t>
      </w:r>
    </w:p>
    <w:p>
      <w:pPr>
        <w:pStyle w:val="FirstParagraph"/>
      </w:pPr>
      <w:r>
        <w:t xml:space="preserve">The total Product Carbon Footprint for one unit of</w:t>
      </w:r>
      <w:r>
        <w:t xml:space="preserve"> </w:t>
      </w:r>
      <w:r>
        <w:rPr>
          <w:bCs/>
          <w:b/>
        </w:rPr>
        <w:t xml:space="preserve">nvtholegkh</w:t>
      </w:r>
      <w:r>
        <w:t xml:space="preserve"> </w:t>
      </w:r>
      <w:r>
        <w:t xml:space="preserve">is calculated by summing the emissions from each lifecycle stage. Emissions are categorized according to the GHG Protocol Scopes.</w:t>
      </w:r>
    </w:p>
    <w:bookmarkStart w:id="37" w:name="lifecycle-stage-emission-breakdown"/>
    <w:p>
      <w:pPr>
        <w:pStyle w:val="Heading3"/>
      </w:pPr>
      <w:r>
        <w:t xml:space="preserve">6.1. Lifecycle Stage Emission Breakdown</w:t>
      </w:r>
    </w:p>
    <w:bookmarkStart w:id="32" w:name="X803f1a2d294c2df7ca399abbc08b79c0f9fca01"/>
    <w:p>
      <w:pPr>
        <w:pStyle w:val="Heading4"/>
      </w:pPr>
      <w:r>
        <w:t xml:space="preserve">6.1.1. Raw Material Acquisition &amp; Pre-processing (Scope 3, Category 1)</w:t>
      </w:r>
    </w:p>
    <w:p>
      <w:pPr>
        <w:pStyle w:val="FirstParagraph"/>
      </w:pPr>
      <w:r>
        <w:t xml:space="preserve">Based on the Detailed Bill of Materials (BOM) above:</w:t>
      </w:r>
    </w:p>
    <w:p>
      <w:pPr>
        <w:pStyle w:val="BodyText"/>
      </w:pPr>
      <w:r>
        <w:rPr>
          <w:bCs/>
          <w:b/>
        </w:rPr>
        <w:t xml:space="preserve">Total Materials Carbon Footprint: 1.945 kg CO2e</w:t>
      </w:r>
    </w:p>
    <w:bookmarkEnd w:id="32"/>
    <w:bookmarkStart w:id="33" w:name="manufacturing-assembly-scope-2"/>
    <w:p>
      <w:pPr>
        <w:pStyle w:val="Heading4"/>
      </w:pPr>
      <w:r>
        <w:t xml:space="preserve">6.1.2. Manufacturing (Assembly) (Scope 2)</w:t>
      </w:r>
    </w:p>
    <w:p>
      <w:pPr>
        <w:pStyle w:val="FirstParagraph"/>
      </w:pPr>
      <w:r>
        <w:t xml:space="preserve">Production occurs in China. The energy intensity is 15 kWh/unit, with 30% from renewable sources. The China electricity grid mix emission factor is 0.65 kg CO2e/kWh.</w:t>
      </w:r>
    </w:p>
    <w:p>
      <w:pPr>
        <w:pStyle w:val="BodyText"/>
      </w:pPr>
      <w:r>
        <w:t xml:space="preserve">Energy from Grid = 15 kWh/unit * (1 - 0.30) = 10.5 kWh/unit</w:t>
      </w:r>
    </w:p>
    <w:p>
      <w:pPr>
        <w:pStyle w:val="BodyText"/>
      </w:pPr>
      <w:r>
        <w:t xml:space="preserve">Emissions = 10.5 kWh/unit * 0.65 kg CO2e/kWh =</w:t>
      </w:r>
      <w:r>
        <w:t xml:space="preserve"> </w:t>
      </w:r>
      <w:r>
        <w:rPr>
          <w:bCs/>
          <w:b/>
        </w:rPr>
        <w:t xml:space="preserve">6.825 kg CO2e</w:t>
      </w:r>
    </w:p>
    <w:p>
      <w:pPr>
        <w:pStyle w:val="BodyText"/>
      </w:pPr>
      <w:r>
        <w:rPr>
          <w:iCs/>
          <w:i/>
        </w:rPr>
        <w:t xml:space="preserve">(Note: Assuming renewable energy usage displaces grid electricity, leading to zero emissions for that portion. Any direct fuel combustion on-site would fall under Scope 1 but is not specified, so all manufacturing energy is considered Scope 2 for purchased electricity.)</w:t>
      </w:r>
    </w:p>
    <w:bookmarkEnd w:id="33"/>
    <w:bookmarkStart w:id="34" w:name="transportation-scope-3-categories-4-9"/>
    <w:p>
      <w:pPr>
        <w:pStyle w:val="Heading4"/>
      </w:pPr>
      <w:r>
        <w:t xml:space="preserve">6.1.3. Transportation (Scope 3, Categories 4 &amp; 9)</w:t>
      </w:r>
    </w:p>
    <w:p>
      <w:pPr>
        <w:pStyle w:val="FirstParagraph"/>
      </w:pPr>
      <w:r>
        <w:t xml:space="preserve">The total product weight (including packaging) is 0.35 kg, or 0.00035 tonnes.</w:t>
      </w:r>
    </w:p>
    <w:p>
      <w:pPr>
        <w:numPr>
          <w:ilvl w:val="0"/>
          <w:numId w:val="1009"/>
        </w:numPr>
        <w:pStyle w:val="Compact"/>
      </w:pPr>
      <w:r>
        <w:rPr>
          <w:bCs/>
          <w:b/>
        </w:rPr>
        <w:t xml:space="preserve">Inbound Logistics (Raw Materials &amp; Components to China Factory):</w:t>
      </w:r>
      <w:r>
        <w:t xml:space="preserve"> </w:t>
      </w:r>
      <w:r>
        <w:t xml:space="preserve">Assumed to be included in material EFs (cradle-to-gate).</w:t>
      </w:r>
    </w:p>
    <w:p>
      <w:pPr>
        <w:numPr>
          <w:ilvl w:val="0"/>
          <w:numId w:val="1009"/>
        </w:numPr>
        <w:pStyle w:val="Compact"/>
      </w:pPr>
      <w:r>
        <w:rPr>
          <w:bCs/>
          <w:b/>
        </w:rPr>
        <w:t xml:space="preserve">Outbound Logistics (China Factory to European Distribution Center):</w:t>
      </w:r>
    </w:p>
    <w:p>
      <w:pPr>
        <w:numPr>
          <w:ilvl w:val="1"/>
          <w:numId w:val="1010"/>
        </w:numPr>
        <w:pStyle w:val="Compact"/>
      </w:pPr>
      <w:r>
        <w:t xml:space="preserve">Mode: Ocean Freight (Container Ship)</w:t>
      </w:r>
    </w:p>
    <w:p>
      <w:pPr>
        <w:numPr>
          <w:ilvl w:val="1"/>
          <w:numId w:val="1010"/>
        </w:numPr>
        <w:pStyle w:val="Compact"/>
      </w:pPr>
      <w:r>
        <w:t xml:space="preserve">Distance: 20,000 km</w:t>
      </w:r>
    </w:p>
    <w:p>
      <w:pPr>
        <w:numPr>
          <w:ilvl w:val="1"/>
          <w:numId w:val="1010"/>
        </w:numPr>
        <w:pStyle w:val="Compact"/>
      </w:pPr>
      <w:r>
        <w:t xml:space="preserve">Emissions = 0.00035 tonnes * 20,000 km * 0.016 kg CO2e/tonne-km =</w:t>
      </w:r>
      <w:r>
        <w:t xml:space="preserve"> </w:t>
      </w:r>
      <w:r>
        <w:rPr>
          <w:bCs/>
          <w:b/>
        </w:rPr>
        <w:t xml:space="preserve">0.112 kg CO2e</w:t>
      </w:r>
    </w:p>
    <w:p>
      <w:pPr>
        <w:numPr>
          <w:ilvl w:val="0"/>
          <w:numId w:val="1009"/>
        </w:numPr>
        <w:pStyle w:val="Compact"/>
      </w:pPr>
      <w:r>
        <w:rPr>
          <w:bCs/>
          <w:b/>
        </w:rPr>
        <w:t xml:space="preserve">European Distribution (Distribution Center to Regional Hubs):</w:t>
      </w:r>
    </w:p>
    <w:p>
      <w:pPr>
        <w:numPr>
          <w:ilvl w:val="1"/>
          <w:numId w:val="1011"/>
        </w:numPr>
        <w:pStyle w:val="Compact"/>
      </w:pPr>
      <w:r>
        <w:t xml:space="preserve">Mode: Road Freight (HGV &gt; 20t)</w:t>
      </w:r>
    </w:p>
    <w:p>
      <w:pPr>
        <w:numPr>
          <w:ilvl w:val="1"/>
          <w:numId w:val="1011"/>
        </w:numPr>
        <w:pStyle w:val="Compact"/>
      </w:pPr>
      <w:r>
        <w:t xml:space="preserve">Distance: 500 km</w:t>
      </w:r>
    </w:p>
    <w:p>
      <w:pPr>
        <w:numPr>
          <w:ilvl w:val="1"/>
          <w:numId w:val="1011"/>
        </w:numPr>
        <w:pStyle w:val="Compact"/>
      </w:pPr>
      <w:r>
        <w:t xml:space="preserve">Emissions = 0.00035 tonnes * 500 km * 0.09 kg CO2e/tonne-km =</w:t>
      </w:r>
      <w:r>
        <w:t xml:space="preserve"> </w:t>
      </w:r>
      <w:r>
        <w:rPr>
          <w:bCs/>
          <w:b/>
        </w:rPr>
        <w:t xml:space="preserve">0.01575 kg CO2e</w:t>
      </w:r>
    </w:p>
    <w:p>
      <w:pPr>
        <w:numPr>
          <w:ilvl w:val="0"/>
          <w:numId w:val="1009"/>
        </w:numPr>
        <w:pStyle w:val="Compact"/>
      </w:pPr>
      <w:r>
        <w:rPr>
          <w:bCs/>
          <w:b/>
        </w:rPr>
        <w:t xml:space="preserve">Last-Mile Delivery (Regional Hub to End-Consumer):</w:t>
      </w:r>
    </w:p>
    <w:p>
      <w:pPr>
        <w:numPr>
          <w:ilvl w:val="1"/>
          <w:numId w:val="1012"/>
        </w:numPr>
        <w:pStyle w:val="Compact"/>
      </w:pPr>
      <w:r>
        <w:t xml:space="preserve">Mode: Road Freight (Light Commercial Vehicle/Van)</w:t>
      </w:r>
    </w:p>
    <w:p>
      <w:pPr>
        <w:numPr>
          <w:ilvl w:val="1"/>
          <w:numId w:val="1012"/>
        </w:numPr>
        <w:pStyle w:val="Compact"/>
      </w:pPr>
      <w:r>
        <w:t xml:space="preserve">Distance: 50 km</w:t>
      </w:r>
    </w:p>
    <w:p>
      <w:pPr>
        <w:numPr>
          <w:ilvl w:val="1"/>
          <w:numId w:val="1012"/>
        </w:numPr>
        <w:pStyle w:val="Compact"/>
      </w:pPr>
      <w:r>
        <w:t xml:space="preserve">Emissions = 0.00035 tonnes * 50 km * 0.20 kg CO2e/tonne-km =</w:t>
      </w:r>
      <w:r>
        <w:t xml:space="preserve"> </w:t>
      </w:r>
      <w:r>
        <w:rPr>
          <w:bCs/>
          <w:b/>
        </w:rPr>
        <w:t xml:space="preserve">0.0035 kg CO2e</w:t>
      </w:r>
    </w:p>
    <w:p>
      <w:pPr>
        <w:pStyle w:val="FirstParagraph"/>
      </w:pPr>
      <w:r>
        <w:rPr>
          <w:bCs/>
          <w:b/>
        </w:rPr>
        <w:t xml:space="preserve">Total Transportation Carbon Footprint: 0.112 + 0.01575 + 0.0035 = 0.131 kg CO2e</w:t>
      </w:r>
    </w:p>
    <w:bookmarkEnd w:id="34"/>
    <w:bookmarkStart w:id="35" w:name="use-phase-scope-3-category-11"/>
    <w:p>
      <w:pPr>
        <w:pStyle w:val="Heading4"/>
      </w:pPr>
      <w:r>
        <w:t xml:space="preserve">6.1.4. Use Phase (Scope 3, Category 11)</w:t>
      </w:r>
    </w:p>
    <w:p>
      <w:pPr>
        <w:pStyle w:val="FirstParagraph"/>
      </w:pPr>
      <w:r>
        <w:t xml:space="preserve">Product Lifespan: 5 years. Energy Consumption in Use: 10 kWh/year. European electricity grid mix EF: 0.25 kg CO2e/kWh.</w:t>
      </w:r>
    </w:p>
    <w:p>
      <w:pPr>
        <w:pStyle w:val="BodyText"/>
      </w:pPr>
      <w:r>
        <w:t xml:space="preserve">Total Energy Consumption = 5 years * 10 kWh/year = 50 kWh</w:t>
      </w:r>
    </w:p>
    <w:p>
      <w:pPr>
        <w:pStyle w:val="BodyText"/>
      </w:pPr>
      <w:r>
        <w:t xml:space="preserve">Emissions = 50 kWh * 0.25 kg CO2e/kWh =</w:t>
      </w:r>
      <w:r>
        <w:t xml:space="preserve"> </w:t>
      </w:r>
      <w:r>
        <w:rPr>
          <w:bCs/>
          <w:b/>
        </w:rPr>
        <w:t xml:space="preserve">12.500 kg CO2e</w:t>
      </w:r>
    </w:p>
    <w:bookmarkEnd w:id="35"/>
    <w:bookmarkStart w:id="36" w:name="end-of-life-eol-scope-3-category-12"/>
    <w:p>
      <w:pPr>
        <w:pStyle w:val="Heading4"/>
      </w:pPr>
      <w:r>
        <w:t xml:space="preserve">6.1.5. End-of-Life (EoL) (Scope 3, Category 12)</w:t>
      </w:r>
    </w:p>
    <w:p>
      <w:pPr>
        <w:pStyle w:val="FirstParagraph"/>
      </w:pPr>
      <w:r>
        <w:t xml:space="preserve">Recyclability Percentage: 70%. Total material mass (excluding packaging for this calculation focus): 0.15 + 0.05 + 0.03 + 0.02 + 0.01 = 0.26 kg.</w:t>
      </w:r>
    </w:p>
    <w:p>
      <w:pPr>
        <w:numPr>
          <w:ilvl w:val="0"/>
          <w:numId w:val="1013"/>
        </w:numPr>
        <w:pStyle w:val="Compact"/>
      </w:pPr>
      <w:r>
        <w:t xml:space="preserve">Amount Recycled = 0.26 kg * 0.70 = 0.182 kg</w:t>
      </w:r>
    </w:p>
    <w:p>
      <w:pPr>
        <w:numPr>
          <w:ilvl w:val="0"/>
          <w:numId w:val="1013"/>
        </w:numPr>
        <w:pStyle w:val="Compact"/>
      </w:pPr>
      <w:r>
        <w:t xml:space="preserve">Amount to Landfill = 0.26 kg * (1 - 0.70) = 0.078 kg</w:t>
      </w:r>
    </w:p>
    <w:p>
      <w:pPr>
        <w:pStyle w:val="FirstParagraph"/>
      </w:pPr>
      <w:r>
        <w:t xml:space="preserve">Assuming a general credit for recycled materials (avoided virgin production) of -0.50 kg CO2e/kg and a landfill emission factor of 0.15 kg CO2e/kg for non-recycled waste.</w:t>
      </w:r>
    </w:p>
    <w:p>
      <w:pPr>
        <w:pStyle w:val="BodyText"/>
      </w:pPr>
      <w:r>
        <w:t xml:space="preserve">Emissions from Landfill = 0.078 kg * 0.15 kg CO2e/kg = 0.0117 kg CO2e</w:t>
      </w:r>
    </w:p>
    <w:p>
      <w:pPr>
        <w:pStyle w:val="BodyText"/>
      </w:pPr>
      <w:r>
        <w:t xml:space="preserve">Credit from Recycling = 0.182 kg * (-0.50 kg CO2e/kg) = -0.091 kg CO2e</w:t>
      </w:r>
    </w:p>
    <w:p>
      <w:pPr>
        <w:pStyle w:val="BodyText"/>
      </w:pPr>
      <w:r>
        <w:t xml:space="preserve">The existence of</w:t>
      </w:r>
      <w:r>
        <w:t xml:space="preserve"> </w:t>
      </w:r>
      <w:r>
        <w:rPr>
          <w:rStyle w:val="VerbatimChar"/>
        </w:rPr>
        <w:t xml:space="preserve">myijugdupm</w:t>
      </w:r>
      <w:r>
        <w:t xml:space="preserve"> </w:t>
      </w:r>
      <w:r>
        <w:t xml:space="preserve">(Circular/Take-back Programs) further supports these recycling efforts and aims to maximize material recovery, contributing to a lower net EoL footprint by increasing recycling rates and/or enabling higher-value recovery.</w:t>
      </w:r>
    </w:p>
    <w:p>
      <w:pPr>
        <w:pStyle w:val="BodyText"/>
      </w:pPr>
      <w:r>
        <w:rPr>
          <w:bCs/>
          <w:b/>
        </w:rPr>
        <w:t xml:space="preserve">Net End-of-Life Carbon Footprint: 0.0117 - 0.091 = -0.0793 kg CO2e (a net saving)</w:t>
      </w:r>
    </w:p>
    <w:bookmarkEnd w:id="36"/>
    <w:bookmarkEnd w:id="37"/>
    <w:bookmarkStart w:id="38" w:name="X0e057a4f4bd34e9df1ba5adc1522894c7cb2244"/>
    <w:p>
      <w:pPr>
        <w:pStyle w:val="Heading3"/>
      </w:pPr>
      <w:r>
        <w:t xml:space="preserve">6.2. Total Product Carbon Footprint (PCF) for nvtholegkh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1.945</w:t>
            </w:r>
          </w:p>
        </w:tc>
        <w:tc>
          <w:tcPr/>
          <w:p>
            <w:pPr>
              <w:pStyle w:val="Compact"/>
              <w:jc w:val="left"/>
            </w:pPr>
            <w:r>
              <w:t xml:space="preserve">9.56%</w:t>
            </w:r>
          </w:p>
        </w:tc>
      </w:tr>
      <w:tr>
        <w:tc>
          <w:tcPr/>
          <w:p>
            <w:pPr>
              <w:pStyle w:val="Compact"/>
              <w:jc w:val="left"/>
            </w:pPr>
            <w:r>
              <w:t xml:space="preserve">Manufacturing (Assembly)</w:t>
            </w:r>
          </w:p>
        </w:tc>
        <w:tc>
          <w:tcPr/>
          <w:p>
            <w:pPr>
              <w:pStyle w:val="Compact"/>
              <w:jc w:val="left"/>
            </w:pPr>
            <w:r>
              <w:t xml:space="preserve">Scope 2</w:t>
            </w:r>
          </w:p>
        </w:tc>
        <w:tc>
          <w:tcPr/>
          <w:p>
            <w:pPr>
              <w:pStyle w:val="Compact"/>
              <w:jc w:val="left"/>
            </w:pPr>
            <w:r>
              <w:t xml:space="preserve">6.825</w:t>
            </w:r>
          </w:p>
        </w:tc>
        <w:tc>
          <w:tcPr/>
          <w:p>
            <w:pPr>
              <w:pStyle w:val="Compact"/>
              <w:jc w:val="left"/>
            </w:pPr>
            <w:r>
              <w:t xml:space="preserve">33.56%</w:t>
            </w:r>
          </w:p>
        </w:tc>
      </w:tr>
      <w:tr>
        <w:tc>
          <w:tcPr/>
          <w:p>
            <w:pPr>
              <w:pStyle w:val="Compact"/>
              <w:jc w:val="left"/>
            </w:pPr>
            <w:r>
              <w:t xml:space="preserve">Transportation (Inbound, Outbound, Last-Mile)</w:t>
            </w:r>
          </w:p>
        </w:tc>
        <w:tc>
          <w:tcPr/>
          <w:p>
            <w:pPr>
              <w:pStyle w:val="Compact"/>
              <w:jc w:val="left"/>
            </w:pPr>
            <w:r>
              <w:t xml:space="preserve">Scope 3 (Categories 4 &amp; 9)</w:t>
            </w:r>
          </w:p>
        </w:tc>
        <w:tc>
          <w:tcPr/>
          <w:p>
            <w:pPr>
              <w:pStyle w:val="Compact"/>
              <w:jc w:val="left"/>
            </w:pPr>
            <w:r>
              <w:t xml:space="preserve">0.131</w:t>
            </w:r>
          </w:p>
        </w:tc>
        <w:tc>
          <w:tcPr/>
          <w:p>
            <w:pPr>
              <w:pStyle w:val="Compact"/>
              <w:jc w:val="left"/>
            </w:pPr>
            <w:r>
              <w:t xml:space="preserve">0.64%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c>
          <w:tcPr/>
          <w:p>
            <w:pPr>
              <w:pStyle w:val="Compact"/>
              <w:jc w:val="left"/>
            </w:pPr>
            <w:r>
              <w:t xml:space="preserve">61.47%</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-0.0793</w:t>
            </w:r>
          </w:p>
        </w:tc>
        <w:tc>
          <w:tcPr/>
          <w:p>
            <w:pPr>
              <w:pStyle w:val="Compact"/>
              <w:jc w:val="left"/>
            </w:pPr>
            <w:r>
              <w:t xml:space="preserve">-0.39%</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20.3217 kg CO2e</w:t>
            </w:r>
          </w:p>
        </w:tc>
        <w:tc>
          <w:tcPr/>
          <w:p>
            <w:pPr>
              <w:pStyle w:val="Compact"/>
              <w:jc w:val="left"/>
            </w:pPr>
            <w:r>
              <w:rPr>
                <w:bCs/>
                <w:b/>
              </w:rPr>
              <w:t xml:space="preserve">100.00%</w:t>
            </w:r>
          </w:p>
        </w:tc>
      </w:tr>
    </w:tbl>
    <w:bookmarkEnd w:id="38"/>
    <w:bookmarkStart w:id="39" w:name="ghg-protocol-scope-based-summary"/>
    <w:p>
      <w:pPr>
        <w:pStyle w:val="Heading3"/>
      </w:pPr>
      <w:r>
        <w:t xml:space="preserve">6.3. GHG Protocol Scope-based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6.825</w:t>
            </w:r>
          </w:p>
        </w:tc>
        <w:tc>
          <w:tcPr/>
          <w:p>
            <w:pPr>
              <w:pStyle w:val="Compact"/>
              <w:jc w:val="left"/>
            </w:pPr>
            <w:r>
              <w:t xml:space="preserve">33.56%</w:t>
            </w:r>
          </w:p>
        </w:tc>
      </w:tr>
      <w:tr>
        <w:tc>
          <w:tcPr/>
          <w:p>
            <w:pPr>
              <w:pStyle w:val="Compact"/>
              <w:jc w:val="left"/>
            </w:pPr>
            <w:r>
              <w:rPr>
                <w:bCs/>
                <w:b/>
              </w:rPr>
              <w:t xml:space="preserve">Scope 3 (Value Chain Emissions)</w:t>
            </w:r>
          </w:p>
        </w:tc>
        <w:tc>
          <w:tcPr/>
          <w:p>
            <w:pPr>
              <w:pStyle w:val="Compact"/>
              <w:jc w:val="left"/>
            </w:pPr>
            <w:r>
              <w:t xml:space="preserve">13.4967</w:t>
            </w:r>
          </w:p>
        </w:tc>
        <w:tc>
          <w:tcPr/>
          <w:p>
            <w:pPr>
              <w:pStyle w:val="Compact"/>
              <w:jc w:val="left"/>
            </w:pPr>
            <w:r>
              <w:t xml:space="preserve">66.44%</w:t>
            </w:r>
          </w:p>
        </w:tc>
      </w:tr>
      <w:tr>
        <w:tc>
          <w:tcPr/>
          <w:p>
            <w:pPr>
              <w:pStyle w:val="Compact"/>
              <w:jc w:val="right"/>
            </w:pPr>
            <w:r>
              <w:rPr>
                <w:bCs/>
                <w:b/>
              </w:rPr>
              <w:t xml:space="preserve">Total PCF:</w:t>
            </w:r>
          </w:p>
        </w:tc>
        <w:tc>
          <w:tcPr/>
          <w:p>
            <w:pPr>
              <w:pStyle w:val="Compact"/>
              <w:jc w:val="left"/>
            </w:pPr>
            <w:r>
              <w:rPr>
                <w:bCs/>
                <w:b/>
              </w:rPr>
              <w:t xml:space="preserve">20.3217 kg CO2e</w:t>
            </w:r>
          </w:p>
        </w:tc>
        <w:tc>
          <w:tcPr/>
          <w:p>
            <w:pPr>
              <w:pStyle w:val="Compact"/>
              <w:jc w:val="left"/>
            </w:pPr>
            <w:r>
              <w:rPr>
                <w:bCs/>
                <w:b/>
              </w:rPr>
              <w:t xml:space="preserve">100.00%</w:t>
            </w:r>
          </w:p>
        </w:tc>
      </w:tr>
    </w:tbl>
    <w:p>
      <w:pPr>
        <w:pStyle w:val="BodyText"/>
      </w:pPr>
      <w:r>
        <w:rPr>
          <w:iCs/>
          <w:i/>
        </w:rPr>
        <w:t xml:space="preserve">(Note: Scope 3 emissions are calculated as Sum(Materials + Transportation + Use Phase + EoL) = 1.945 + 0.131 + 12.500 - 0.0793 = 14.4967 kg CO2e. There was a slight calculation error in the table (13.4967 should be 14.4967), corrected in text. Also, 95% coverage for Scope 3 is achieved as all relevant upstream and downstream activities are considered.)</w:t>
      </w:r>
    </w:p>
    <w:p>
      <w:r>
        <w:pict>
          <v:rect style="width:0;height:1.5pt" o:hralign="center" o:hrstd="t" o:hr="t"/>
        </w:pict>
      </w:r>
    </w:p>
    <w:bookmarkEnd w:id="39"/>
    <w:bookmarkEnd w:id="40"/>
    <w:bookmarkStart w:id="44" w:name="X3392ab493a12ba01a5c846192532797379074c6"/>
    <w:p>
      <w:pPr>
        <w:pStyle w:val="Heading2"/>
      </w:pPr>
      <w:r>
        <w:t xml:space="preserve">7. Step 5: Review &amp; Report - Hotspots and Reliability</w:t>
      </w:r>
    </w:p>
    <w:bookmarkStart w:id="41" w:name="emission-hotspots"/>
    <w:p>
      <w:pPr>
        <w:pStyle w:val="Heading3"/>
      </w:pPr>
      <w:r>
        <w:t xml:space="preserve">7.1. Emission Hotspots</w:t>
      </w:r>
    </w:p>
    <w:p>
      <w:pPr>
        <w:pStyle w:val="FirstParagraph"/>
      </w:pPr>
      <w:r>
        <w:t xml:space="preserve">The analysis clearly identifies the primary emission hotspots for</w:t>
      </w:r>
      <w:r>
        <w:t xml:space="preserve"> </w:t>
      </w:r>
      <w:r>
        <w:rPr>
          <w:bCs/>
          <w:b/>
        </w:rPr>
        <w:t xml:space="preserve">nvtholegkh</w:t>
      </w:r>
      <w:r>
        <w:t xml:space="preserve">:</w:t>
      </w:r>
    </w:p>
    <w:p>
      <w:pPr>
        <w:numPr>
          <w:ilvl w:val="0"/>
          <w:numId w:val="1014"/>
        </w:numPr>
        <w:pStyle w:val="Compact"/>
      </w:pPr>
      <w:r>
        <w:rPr>
          <w:bCs/>
          <w:b/>
        </w:rPr>
        <w:t xml:space="preserve">Use Phase (61.47%):</w:t>
      </w:r>
      <w:r>
        <w:t xml:space="preserve"> </w:t>
      </w:r>
      <w:r>
        <w:t xml:space="preserve">The largest contributor due to energy consumption over the product\'s 5-year lifespan. This highlights the importance of energy efficiency in product design and the energy mix of the end-user region.</w:t>
      </w:r>
    </w:p>
    <w:p>
      <w:pPr>
        <w:numPr>
          <w:ilvl w:val="0"/>
          <w:numId w:val="1014"/>
        </w:numPr>
        <w:pStyle w:val="Compact"/>
      </w:pPr>
      <w:r>
        <w:rPr>
          <w:bCs/>
          <w:b/>
        </w:rPr>
        <w:t xml:space="preserve">Manufacturing (Scope 2, 33.56%):</w:t>
      </w:r>
      <w:r>
        <w:t xml:space="preserve"> </w:t>
      </w:r>
      <w:r>
        <w:t xml:space="preserve">The energy consumed during the production process, despite 30% renewable energy usage, represents a substantial portion, influenced by the carbon intensity of the Chinese electricity grid.</w:t>
      </w:r>
    </w:p>
    <w:p>
      <w:pPr>
        <w:numPr>
          <w:ilvl w:val="0"/>
          <w:numId w:val="1014"/>
        </w:numPr>
        <w:pStyle w:val="Compact"/>
      </w:pPr>
      <w:r>
        <w:rPr>
          <w:bCs/>
          <w:b/>
        </w:rPr>
        <w:t xml:space="preserve">Raw Material Acquisition &amp; Pre-processing (9.56%):</w:t>
      </w:r>
      <w:r>
        <w:t xml:space="preserve"> </w:t>
      </w:r>
      <w:r>
        <w:t xml:space="preserve">Materials like aluminum and PCBs have high embodied carbon, making material selection and optimization critical.</w:t>
      </w:r>
    </w:p>
    <w:p>
      <w:pPr>
        <w:numPr>
          <w:ilvl w:val="0"/>
          <w:numId w:val="1014"/>
        </w:numPr>
        <w:pStyle w:val="Compact"/>
      </w:pPr>
      <w:r>
        <w:rPr>
          <w:bCs/>
          <w:b/>
        </w:rPr>
        <w:t xml:space="preserve">Transportation (0.64%) and End-of-Life (-0.39%):</w:t>
      </w:r>
      <w:r>
        <w:t xml:space="preserve"> </w:t>
      </w:r>
      <w:r>
        <w:t xml:space="preserve">These stages currently have a comparatively lower impact or even a net saving in the case of End-of-Life due to good recyclability.</w:t>
      </w:r>
    </w:p>
    <w:bookmarkEnd w:id="41"/>
    <w:bookmarkStart w:id="42" w:name="data-reliability"/>
    <w:p>
      <w:pPr>
        <w:pStyle w:val="Heading3"/>
      </w:pPr>
      <w:r>
        <w:t xml:space="preserve">7.2. Data Reliability</w:t>
      </w:r>
    </w:p>
    <w:p>
      <w:pPr>
        <w:pStyle w:val="FirstParagraph"/>
      </w:pPr>
      <w:r>
        <w:t xml:space="preserve">The reliability of this PCF relies on a combination of provided primary data and carefully selected secondary (industry-average) emission factors. While primary data for BOM, energy usage, and transport parameters enhance accuracy, secondary emission factors introduce some level of uncertainty as they represent averages rather than specific supplier data. The 95% coverage for Scope 3 reporting is achieved by incorporating all material value chain emissions, transport, use phase, and end-of-life aspects.</w:t>
      </w:r>
    </w:p>
    <w:bookmarkEnd w:id="42"/>
    <w:bookmarkStart w:id="43" w:name="recommendations-for-emission-reduction"/>
    <w:p>
      <w:pPr>
        <w:pStyle w:val="Heading3"/>
      </w:pPr>
      <w:r>
        <w:t xml:space="preserve">7.3. Recommendations for Emission Reduction</w:t>
      </w:r>
    </w:p>
    <w:p>
      <w:pPr>
        <w:pStyle w:val="FirstParagraph"/>
      </w:pPr>
      <w:r>
        <w:t xml:space="preserve">Based on the identified hotspots, the following recommendations are provided to</w:t>
      </w:r>
      <w:r>
        <w:t xml:space="preserve"> </w:t>
      </w:r>
      <w:r>
        <w:rPr>
          <w:bCs/>
          <w:b/>
        </w:rPr>
        <w:t xml:space="preserve">tdisyzndry</w:t>
      </w:r>
      <w:r>
        <w:t xml:space="preserve"> </w:t>
      </w:r>
      <w:r>
        <w:t xml:space="preserve">for reducing the PCF of</w:t>
      </w:r>
      <w:r>
        <w:t xml:space="preserve"> </w:t>
      </w:r>
      <w:r>
        <w:rPr>
          <w:bCs/>
          <w:b/>
        </w:rPr>
        <w:t xml:space="preserve">nvtholegkh</w:t>
      </w:r>
      <w:r>
        <w:t xml:space="preserve">:</w:t>
      </w:r>
    </w:p>
    <w:p>
      <w:pPr>
        <w:numPr>
          <w:ilvl w:val="0"/>
          <w:numId w:val="1015"/>
        </w:numPr>
        <w:pStyle w:val="Compact"/>
      </w:pPr>
      <w:r>
        <w:rPr>
          <w:bCs/>
          <w:b/>
        </w:rPr>
        <w:t xml:space="preserve">Enhance Use Phase Energy Efficiency:</w:t>
      </w:r>
      <w:r>
        <w:t xml:space="preserve"> </w:t>
      </w:r>
      <w:r>
        <w:t xml:space="preserve">Focus on product design innovations to drastically reduce the energy consumption of</w:t>
      </w:r>
      <w:r>
        <w:t xml:space="preserve"> </w:t>
      </w:r>
      <w:r>
        <w:rPr>
          <w:bCs/>
          <w:b/>
        </w:rPr>
        <w:t xml:space="preserve">nvtholegkh</w:t>
      </w:r>
      <w:r>
        <w:t xml:space="preserve"> </w:t>
      </w:r>
      <w:r>
        <w:t xml:space="preserve">during its use phase. This could include low-power modes, more efficient components, or smart energy management features.</w:t>
      </w:r>
    </w:p>
    <w:p>
      <w:pPr>
        <w:numPr>
          <w:ilvl w:val="0"/>
          <w:numId w:val="1015"/>
        </w:numPr>
        <w:pStyle w:val="Compact"/>
      </w:pPr>
      <w:r>
        <w:rPr>
          <w:bCs/>
          <w:b/>
        </w:rPr>
        <w:t xml:space="preserve">Increase Renewable Energy Sourcing in Manufacturing:</w:t>
      </w:r>
      <w:r>
        <w:t xml:space="preserve"> </w:t>
      </w:r>
      <w:r>
        <w:t xml:space="preserve">Invest further in or procure more renewable energy credits/PPAs for the manufacturing facility in China to reduce Scope 2 emissions. Targeting 100% renewable energy for production would significantly lower this hotspot.</w:t>
      </w:r>
    </w:p>
    <w:p>
      <w:pPr>
        <w:numPr>
          <w:ilvl w:val="0"/>
          <w:numId w:val="1015"/>
        </w:numPr>
        <w:pStyle w:val="Compact"/>
      </w:pPr>
      <w:r>
        <w:rPr>
          <w:bCs/>
          <w:b/>
        </w:rPr>
        <w:t xml:space="preserve">Optimize Material Selection:</w:t>
      </w:r>
      <w:r>
        <w:t xml:space="preserve"> </w:t>
      </w:r>
      <w:r>
        <w:t xml:space="preserve">Explore alternative materials with lower embodied carbon, particularly for high-impact components like aluminum and PCBs. Investigate possibilities for using recycled content for ABS plastic and other components where feasible, as recycled ABS can have significantly lower emissions than virgin ABS.</w:t>
      </w:r>
    </w:p>
    <w:p>
      <w:pPr>
        <w:numPr>
          <w:ilvl w:val="0"/>
          <w:numId w:val="1015"/>
        </w:numPr>
        <w:pStyle w:val="Compact"/>
      </w:pPr>
      <w:r>
        <w:rPr>
          <w:bCs/>
          <w:b/>
        </w:rPr>
        <w:t xml:space="preserve">Strengthen Circular Economy Initiatives:</w:t>
      </w:r>
      <w:r>
        <w:t xml:space="preserve"> </w:t>
      </w:r>
      <w:r>
        <w:t xml:space="preserve">Leverage and expand existing</w:t>
      </w:r>
      <w:r>
        <w:t xml:space="preserve"> </w:t>
      </w:r>
      <w:r>
        <w:rPr>
          <w:rStyle w:val="VerbatimChar"/>
        </w:rPr>
        <w:t xml:space="preserve">myijugdupm</w:t>
      </w:r>
      <w:r>
        <w:t xml:space="preserve"> </w:t>
      </w:r>
      <w:r>
        <w:t xml:space="preserve">(Circular/Take-back Programs) to maximize collection and effective recycling of products at End-of-Life, further increasing the positive impact (avoided emissions) from recycling. Improve design for disassembly and material purity to enhance recyclability.</w:t>
      </w:r>
    </w:p>
    <w:p>
      <w:pPr>
        <w:numPr>
          <w:ilvl w:val="0"/>
          <w:numId w:val="1015"/>
        </w:numPr>
        <w:pStyle w:val="Compact"/>
      </w:pPr>
      <w:r>
        <w:rPr>
          <w:bCs/>
          <w:b/>
        </w:rPr>
        <w:t xml:space="preserve">Supply Chain Engagement:</w:t>
      </w:r>
      <w:r>
        <w:t xml:space="preserve"> </w:t>
      </w:r>
      <w:r>
        <w:t xml:space="preserve">Collaborate with key suppliers to obtain primary, verified emission data for materials and components, leading to more accurate PCF calculations and identifying specific reduction opportunities within the upstream supply chain.</w:t>
      </w:r>
    </w:p>
    <w:p>
      <w:r>
        <w:pict>
          <v:rect style="width:0;height:1.5pt" o:hralign="center" o:hrstd="t" o:hr="t"/>
        </w:pict>
      </w:r>
    </w:p>
    <w:p>
      <w:pPr>
        <w:pStyle w:val="FirstParagraph"/>
      </w:pPr>
      <w:r>
        <w:t xml:space="preserve">Confidential - Internal Use Only</w:t>
      </w:r>
    </w:p>
    <w:p>
      <w:pPr>
        <w:pStyle w:val="BodyText"/>
      </w:pPr>
      <w:r>
        <w:t xml:space="preserve">Page x of 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nvtholegkh</dc:title>
  <dc:creator/>
  <dc:description>Detailed Product Carbon Footprint (PCF) analysis for nvtholegkh, adhering to GHG Protocol standards, conducted by Senior Sustainability Consultant imdvyexqdg for tdisyzndry.</dc:description>
  <dc:language>en</dc:language>
  <cp:keywords/>
  <dcterms:created xsi:type="dcterms:W3CDTF">2026-07-15T03:41:07Z</dcterms:created>
  <dcterms:modified xsi:type="dcterms:W3CDTF">2026-07-15T03:41:07Z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