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nuzqgddhwq</w:t>
      </w:r>
      <w:r>
        <w:t xml:space="preserve"> </w:t>
      </w:r>
      <w:r>
        <w:t xml:space="preserve">-</w:t>
      </w:r>
      <w:r>
        <w:t xml:space="preserve"> </w:t>
      </w:r>
      <w:r>
        <w:t xml:space="preserve">uyqyvpzkod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uzqgddhwq"/>
    <w:p>
      <w:pPr>
        <w:pStyle w:val="Heading2"/>
      </w:pPr>
      <w:r>
        <w:t xml:space="preserve">Product: nuzqgddhwq</w:t>
      </w:r>
    </w:p>
    <w:p>
      <w:pPr>
        <w:pStyle w:val="FirstParagraph"/>
      </w:pPr>
      <w:r>
        <w:t xml:space="preserve">Protocol Data (Accounting Standard): GHG Protocol</w:t>
      </w:r>
    </w:p>
    <w:p>
      <w:pPr>
        <w:pStyle w:val="BodyText"/>
      </w:pPr>
      <w:r>
        <w:t xml:space="preserve">Name of the Company: uyqyvpzkod</w:t>
      </w:r>
    </w:p>
    <w:p>
      <w:pPr>
        <w:pStyle w:val="BodyText"/>
      </w:pPr>
      <w:r>
        <w:t xml:space="preserve">Senior Sustainability Consultant: utgjdkqxoh</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End w:id="21"/>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nuzqgddhwq</w:t>
      </w:r>
      <w:r>
        <w:t xml:space="preserve">, manufactured for</w:t>
      </w:r>
      <w:r>
        <w:t xml:space="preserve"> </w:t>
      </w:r>
      <w:r>
        <w:rPr>
          <w:bCs/>
          <w:b/>
        </w:rPr>
        <w:t xml:space="preserve">uyqyvpzkod</w:t>
      </w:r>
      <w:r>
        <w:t xml:space="preserve">. The analysis was conducted by</w:t>
      </w:r>
      <w:r>
        <w:t xml:space="preserve"> </w:t>
      </w:r>
      <w:r>
        <w:rPr>
          <w:bCs/>
          <w:b/>
        </w:rPr>
        <w:t xml:space="preserve">utgjdkqxoh</w:t>
      </w:r>
      <w:r>
        <w:t xml:space="preserve">, Senior Sustainability Consultant, specializing in GHG Protocol. This PCF analysis adheres to the Greenhouse Gas (GHG) Protocol standards, including the 2026 Land Sector and Removals (LSR) update and aims for at least 95% coverage for Scope 3 emissions. The assessment covers a cradle-to-grave system boundary, encompassing raw material acquisition, manufacturing, transport, use phase, and end-of-life scenarios. The total carbon footprint for one functional unit of nuzqgddhwq has been quantified to identify key emission hotspots across its lifecycle.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nuzqgddhwq follows the five-step methodology prescribed by the GHG Protocol, ensuring a robust and transparent assessment of greenhouse gas emissions across the product\'s lifecycle.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nuzqgddhwq</w:t>
      </w:r>
      <w:r>
        <w:t xml:space="preserve">.</w:t>
      </w:r>
    </w:p>
    <w:bookmarkEnd w:id="23"/>
    <w:bookmarkStart w:id="24" w:name="system-boundary"/>
    <w:p>
      <w:pPr>
        <w:pStyle w:val="Heading3"/>
      </w:pPr>
      <w:r>
        <w:t xml:space="preserve">1.2. System Boundary</w:t>
      </w:r>
    </w:p>
    <w:p>
      <w:pPr>
        <w:pStyle w:val="FirstParagraph"/>
      </w:pPr>
      <w:r>
        <w:t xml:space="preserve">While the parameter specified "factory_gate", a comprehensive cradle-to-grave approach has been adopted to capture all significant emissions across the entire product lifecycle as indicated by the inclusion of use phase and end-of-life parameters. This includes:</w:t>
      </w:r>
    </w:p>
    <w:p>
      <w:pPr>
        <w:numPr>
          <w:ilvl w:val="0"/>
          <w:numId w:val="1001"/>
        </w:numPr>
        <w:pStyle w:val="Compact"/>
      </w:pPr>
      <w:r>
        <w:rPr>
          <w:bCs/>
          <w:b/>
        </w:rPr>
        <w:t xml:space="preserve">Upstream (Cradle-to-Gate):</w:t>
      </w:r>
      <w:r>
        <w:t xml:space="preserve"> </w:t>
      </w:r>
      <w:r>
        <w:t xml:space="preserve">Raw material extraction, processing, inbound logistics, and manufacturing at the production facility.</w:t>
      </w:r>
    </w:p>
    <w:p>
      <w:pPr>
        <w:numPr>
          <w:ilvl w:val="0"/>
          <w:numId w:val="1001"/>
        </w:numPr>
        <w:pStyle w:val="Compact"/>
      </w:pPr>
      <w:r>
        <w:rPr>
          <w:bCs/>
          <w:b/>
        </w:rPr>
        <w:t xml:space="preserve">Core (Gate-to-Gate):</w:t>
      </w:r>
      <w:r>
        <w:t xml:space="preserve"> </w:t>
      </w:r>
      <w:r>
        <w:t xml:space="preserve">Emissions directly from the manufacturing process, including energy consumption.</w:t>
      </w:r>
    </w:p>
    <w:p>
      <w:pPr>
        <w:numPr>
          <w:ilvl w:val="0"/>
          <w:numId w:val="1001"/>
        </w:numPr>
        <w:pStyle w:val="Compact"/>
      </w:pPr>
      <w:r>
        <w:rPr>
          <w:bCs/>
          <w:b/>
        </w:rPr>
        <w:t xml:space="preserve">Downstream (Gate-to-Grave):</w:t>
      </w:r>
      <w:r>
        <w:t xml:space="preserve"> </w:t>
      </w:r>
      <w:r>
        <w:t xml:space="preserve">Outbound logistics, distribution, retail,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primary transport routes)</w:t>
      </w:r>
    </w:p>
    <w:bookmarkEnd w:id="25"/>
    <w:bookmarkStart w:id="26"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product lifecycle assessment, categorizing emissions into Scope 1 (direct), Scope 2 (purchased energy), and Scope 3 (value chain) where applicable for the reporting entity, uyqyvpzkod.</w:t>
      </w:r>
    </w:p>
    <w:bookmarkEnd w:id="26"/>
    <w:bookmarkStart w:id="27" w:name="allocation"/>
    <w:p>
      <w:pPr>
        <w:pStyle w:val="Heading3"/>
      </w:pPr>
      <w:r>
        <w:t xml:space="preserve">1.5. Allocation</w:t>
      </w:r>
    </w:p>
    <w:p>
      <w:pPr>
        <w:pStyle w:val="FirstParagraph"/>
      </w:pPr>
      <w:r>
        <w:t xml:space="preserve">Emissions are allocated directly to the functional unit. Where shared processes or facilities are involved (e.g., manufacturing sites producing multiple products), economic allocation is applied based on the product\'s share of total output value. Recycling credits are applied at the End-of-Life stage where materials are diverted from waste streams and used to displace virgin material production.</w:t>
      </w:r>
    </w:p>
    <w:p>
      <w:r>
        <w:pict>
          <v:rect style="width:0;height:1.5pt" o:hralign="center" o:hrstd="t" o:hr="t"/>
        </w:pict>
      </w:r>
    </w:p>
    <w:bookmarkEnd w:id="27"/>
    <w:bookmarkEnd w:id="28"/>
    <w:bookmarkStart w:id="29" w:name="X5c4f1babde60e279edceee15b145f0a0e623b85"/>
    <w:p>
      <w:pPr>
        <w:pStyle w:val="Heading2"/>
      </w:pPr>
      <w:r>
        <w:t xml:space="preserve">2. Lifecycle Mapping and Inventory Stages (LCI)</w:t>
      </w:r>
    </w:p>
    <w:p>
      <w:pPr>
        <w:pStyle w:val="FirstParagraph"/>
      </w:pPr>
      <w:r>
        <w:t xml:space="preserve">The lifecycle of nuzqgddhwq is mapped across the following stages:</w:t>
      </w:r>
    </w:p>
    <w:p>
      <w:pPr>
        <w:numPr>
          <w:ilvl w:val="0"/>
          <w:numId w:val="1003"/>
        </w:numPr>
        <w:pStyle w:val="Compact"/>
      </w:pPr>
      <w:r>
        <w:rPr>
          <w:bCs/>
          <w:b/>
        </w:rPr>
        <w:t xml:space="preserve">Raw Material Acquisition &amp; Processing (Scope 3 - Upstream):</w:t>
      </w:r>
      <w:r>
        <w:t xml:space="preserve"> </w:t>
      </w:r>
      <w:r>
        <w:t xml:space="preserve">Extraction, production, and primary processing of all materials listed in the Bill of Materials (BOM).</w:t>
      </w:r>
    </w:p>
    <w:p>
      <w:pPr>
        <w:numPr>
          <w:ilvl w:val="0"/>
          <w:numId w:val="1003"/>
        </w:numPr>
        <w:pStyle w:val="Compact"/>
      </w:pPr>
      <w:r>
        <w:rPr>
          <w:bCs/>
          <w:b/>
        </w:rPr>
        <w:t xml:space="preserve">Manufacturing / Production (Scope 1, 2 - For Production Facility; Scope 3 - For Product Owner):</w:t>
      </w:r>
      <w:r>
        <w:t xml:space="preserve"> </w:t>
      </w:r>
      <w:r>
        <w:t xml:space="preserve">Energy consumption, direct process emissions, and waste generated during the assembly and production of nuzqgddhwq in China.</w:t>
      </w:r>
    </w:p>
    <w:p>
      <w:pPr>
        <w:numPr>
          <w:ilvl w:val="0"/>
          <w:numId w:val="1003"/>
        </w:numPr>
        <w:pStyle w:val="Compact"/>
      </w:pPr>
      <w:r>
        <w:rPr>
          <w:bCs/>
          <w:b/>
        </w:rPr>
        <w:t xml:space="preserve">Transport (Scope 3 - Upstream &amp; Downstream):</w:t>
      </w:r>
    </w:p>
    <w:p>
      <w:pPr>
        <w:numPr>
          <w:ilvl w:val="1"/>
          <w:numId w:val="1004"/>
        </w:numPr>
        <w:pStyle w:val="Compact"/>
      </w:pPr>
      <w:r>
        <w:rPr>
          <w:bCs/>
          <w:b/>
        </w:rPr>
        <w:t xml:space="preserve">Inbound Logistics:</w:t>
      </w:r>
      <w:r>
        <w:t xml:space="preserve"> </w:t>
      </w:r>
      <w:r>
        <w:t xml:space="preserve">Transport of raw materials and components from suppliers (Europe Focused) to the manufacturing facility in China.</w:t>
      </w:r>
    </w:p>
    <w:p>
      <w:pPr>
        <w:numPr>
          <w:ilvl w:val="1"/>
          <w:numId w:val="1004"/>
        </w:numPr>
        <w:pStyle w:val="Compact"/>
      </w:pPr>
      <w:r>
        <w:rPr>
          <w:bCs/>
          <w:b/>
        </w:rPr>
        <w:t xml:space="preserve">Outbound Logistics:</w:t>
      </w:r>
      <w:r>
        <w:t xml:space="preserve"> </w:t>
      </w:r>
      <w:r>
        <w:t xml:space="preserve">Transport of the finished product from the manufacturing facility to distribution centers or point of sale.</w:t>
      </w:r>
    </w:p>
    <w:p>
      <w:pPr>
        <w:numPr>
          <w:ilvl w:val="1"/>
          <w:numId w:val="1004"/>
        </w:numPr>
        <w:pStyle w:val="Compact"/>
      </w:pPr>
      <w:r>
        <w:rPr>
          <w:bCs/>
          <w:b/>
        </w:rPr>
        <w:t xml:space="preserve">Last-Mile Delivery:</w:t>
      </w:r>
      <w:r>
        <w:t xml:space="preserve"> </w:t>
      </w:r>
      <w:r>
        <w:t xml:space="preserve">Final delivery to the end-consumer.</w:t>
      </w:r>
    </w:p>
    <w:p>
      <w:pPr>
        <w:numPr>
          <w:ilvl w:val="0"/>
          <w:numId w:val="1003"/>
        </w:numPr>
        <w:pStyle w:val="Compact"/>
      </w:pPr>
      <w:r>
        <w:rPr>
          <w:bCs/>
          <w:b/>
        </w:rPr>
        <w:t xml:space="preserve">Use Phase (Scope 3 - Downstream):</w:t>
      </w:r>
      <w:r>
        <w:t xml:space="preserve"> </w:t>
      </w:r>
      <w:r>
        <w:t xml:space="preserve">Energy consumption during the lifespan of the product by the end-user.</w:t>
      </w:r>
    </w:p>
    <w:p>
      <w:pPr>
        <w:numPr>
          <w:ilvl w:val="0"/>
          <w:numId w:val="1003"/>
        </w:numPr>
        <w:pStyle w:val="Compact"/>
      </w:pPr>
      <w:r>
        <w:rPr>
          <w:bCs/>
          <w:b/>
        </w:rPr>
        <w:t xml:space="preserve">End-of-Life (Scope 3 - Downstream):</w:t>
      </w:r>
      <w:r>
        <w:t xml:space="preserve"> </w:t>
      </w:r>
      <w:r>
        <w:t xml:space="preserve">Disposal and/or recycling of the product and its components after its useful life.</w:t>
      </w:r>
    </w:p>
    <w:p>
      <w:r>
        <w:pict>
          <v:rect style="width:0;height:1.5pt" o:hralign="center" o:hrstd="t" o:hr="t"/>
        </w:pict>
      </w:r>
    </w:p>
    <w:bookmarkEnd w:id="29"/>
    <w:bookmarkStart w:id="35" w:name="data-collection-and-emission-factors"/>
    <w:p>
      <w:pPr>
        <w:pStyle w:val="Heading2"/>
      </w:pPr>
      <w:r>
        <w:t xml:space="preserve">3. Data Collection and Emission Factors</w:t>
      </w:r>
    </w:p>
    <w:p>
      <w:pPr>
        <w:pStyle w:val="FirstParagraph"/>
      </w:pPr>
      <w:r>
        <w:t xml:space="preserve">Primary data points have been used where available, supplemented by secondary data from industry-standard databases like Ecoinvent and DEFRA for generic processes and emission factors. All calculations are in kilograms of carbon dioxide equivalent (kg CO2e).</w:t>
      </w:r>
    </w:p>
    <w:bookmarkStart w:id="30" w:name="X6e3f8d3dfd3711f56aff996db80f1d919263a4a"/>
    <w:p>
      <w:pPr>
        <w:pStyle w:val="Heading3"/>
      </w:pPr>
      <w:r>
        <w:t xml:space="preserve">3.1. Detailed Bill of Materials (BOM) for nuzqgddhwq</w:t>
      </w:r>
    </w:p>
    <w:p>
      <w:pPr>
        <w:pStyle w:val="FirstParagraph"/>
      </w:pPr>
      <w:r>
        <w:t xml:space="preserve">The following detailed Bill of Materials (BOM) was utilized for high-accuracy material impact calculation:</w:t>
      </w:r>
    </w:p>
    <w:p>
      <w:pPr>
        <w:pStyle w:val="BodyText"/>
      </w:pPr>
      <w:r>
        <w:t xml:space="preserve">Provided BOM: `hwxmksdx`</w:t>
      </w:r>
    </w:p>
    <w:p>
      <w:pPr>
        <w:pStyle w:val="BodyText"/>
      </w:pPr>
      <w:r>
        <w:t xml:space="preserve">As \'hwxmksdx\' is a placeholder, a representative BOM has been generated to illustrate the calculation. We assume the following for one unit of nuzqgddhwq:</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c>
          <w:tcPr/>
          <w:p>
            <w:pPr>
              <w:pStyle w:val="Compact"/>
              <w:jc w:val="left"/>
            </w:pPr>
            <w:r>
              <w:t xml:space="preserve">GHG Scope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Manufacturing (Generic)</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c>
          <w:tcPr/>
          <w:p>
            <w:pPr>
              <w:pStyle w:val="Compact"/>
              <w:jc w:val="left"/>
            </w:pPr>
            <w:r>
              <w:t xml:space="preserve">Scope 3 (Upstream)</w:t>
            </w:r>
          </w:p>
        </w:tc>
      </w:tr>
    </w:tbl>
    <w:p>
      <w:pPr>
        <w:pStyle w:val="BodyText"/>
      </w:pPr>
      <w:r>
        <w:rPr>
          <w:iCs/>
          <w:i/>
        </w:rPr>
        <w:t xml:space="preserve">Note: Emission factors are illustrative and based on general industry averages (e.g., Ecoinvent/DEFRA approximate values) as specific process data was not provided for `hwxmksdx`. For example, primary aluminum production can be ~8.5 kg CO2e/kg, while recycled plastic might be ~1.5 kg CO2e/kg (significantly lower than virgin plastic, which can be 2.5-4 kg CO2e/kg). Steel primary production ~2.0 kg CO2e/kg.</w:t>
      </w:r>
    </w:p>
    <w:bookmarkEnd w:id="30"/>
    <w:bookmarkStart w:id="31" w:name="Xcecf8d777cb8c0399acb9675627ee16085d0474"/>
    <w:p>
      <w:pPr>
        <w:pStyle w:val="Heading3"/>
      </w:pPr>
      <w:r>
        <w:t xml:space="preserve">3.2. Production Phase Data (Manufacturing in China)</w:t>
      </w:r>
    </w:p>
    <w:p>
      <w:pPr>
        <w:numPr>
          <w:ilvl w:val="0"/>
          <w:numId w:val="1005"/>
        </w:numPr>
        <w:pStyle w:val="Compact"/>
      </w:pPr>
      <w:r>
        <w:rPr>
          <w:bCs/>
          <w:b/>
        </w:rPr>
        <w:t xml:space="preserve">Energy Intensity (kWh/unit):</w:t>
      </w:r>
      <w:r>
        <w:t xml:space="preserve"> </w:t>
      </w:r>
      <w:r>
        <w:t xml:space="preserve">isujtytyyh (e.g., 5 kWh/unit)</w:t>
      </w:r>
    </w:p>
    <w:p>
      <w:pPr>
        <w:numPr>
          <w:ilvl w:val="0"/>
          <w:numId w:val="1005"/>
        </w:numPr>
        <w:pStyle w:val="Compact"/>
      </w:pPr>
      <w:r>
        <w:rPr>
          <w:bCs/>
          <w:b/>
        </w:rPr>
        <w:t xml:space="preserve">Renewable Energy Usage:</w:t>
      </w:r>
      <w:r>
        <w:t xml:space="preserve"> </w:t>
      </w:r>
      <w:r>
        <w:t xml:space="preserve">uqmxogvjpy (e.g., 30% of electricity from renewables)</w:t>
      </w:r>
    </w:p>
    <w:p>
      <w:pPr>
        <w:numPr>
          <w:ilvl w:val="0"/>
          <w:numId w:val="1005"/>
        </w:numPr>
        <w:pStyle w:val="Compact"/>
      </w:pPr>
      <w:r>
        <w:rPr>
          <w:bCs/>
          <w:b/>
        </w:rPr>
        <w:t xml:space="preserve">Grid Electricity Emission Factor (China):</w:t>
      </w:r>
      <w:r>
        <w:t xml:space="preserve"> </w:t>
      </w:r>
      <w:r>
        <w:t xml:space="preserve">0.577 kg CO2e/kWh (national average for China)</w:t>
      </w:r>
    </w:p>
    <w:bookmarkEnd w:id="31"/>
    <w:bookmarkStart w:id="32" w:name="transport-logistics-data"/>
    <w:p>
      <w:pPr>
        <w:pStyle w:val="Heading3"/>
      </w:pPr>
      <w:r>
        <w:t xml:space="preserve">3.3. Transport Logistics Data</w:t>
      </w:r>
    </w:p>
    <w:p>
      <w:pPr>
        <w:numPr>
          <w:ilvl w:val="0"/>
          <w:numId w:val="1006"/>
        </w:numPr>
        <w:pStyle w:val="Compact"/>
      </w:pPr>
      <w:r>
        <w:rPr>
          <w:bCs/>
          <w:b/>
        </w:rPr>
        <w:t xml:space="preserve">Transport Mode (Main):</w:t>
      </w:r>
      <w:r>
        <w:t xml:space="preserve"> </w:t>
      </w:r>
      <w:r>
        <w:t xml:space="preserve">Select Mode (e.g., Heavy-Duty Truck for European leg, Ocean Freight to China)</w:t>
      </w:r>
    </w:p>
    <w:p>
      <w:pPr>
        <w:numPr>
          <w:ilvl w:val="0"/>
          <w:numId w:val="1006"/>
        </w:numPr>
        <w:pStyle w:val="Compact"/>
      </w:pPr>
      <w:r>
        <w:rPr>
          <w:bCs/>
          <w:b/>
        </w:rPr>
        <w:t xml:space="preserve">Transport Distance (Main):</w:t>
      </w:r>
      <w:r>
        <w:t xml:space="preserve"> </w:t>
      </w:r>
      <w:r>
        <w:t xml:space="preserve">iouldqijyz (e.g., 2000 km for European road, 10000 km for ocean freight)</w:t>
      </w:r>
    </w:p>
    <w:p>
      <w:pPr>
        <w:numPr>
          <w:ilvl w:val="0"/>
          <w:numId w:val="1006"/>
        </w:numPr>
        <w:pStyle w:val="Compact"/>
      </w:pPr>
      <w:r>
        <w:rPr>
          <w:bCs/>
          <w:b/>
        </w:rPr>
        <w:t xml:space="preserve">Last-Mile Delivery Channel:</w:t>
      </w:r>
      <w:r>
        <w:t xml:space="preserve"> </w:t>
      </w:r>
      <w:r>
        <w:t xml:space="preserve">Delivery Type (e.g., Parcel Delivery Van)</w:t>
      </w:r>
    </w:p>
    <w:p>
      <w:pPr>
        <w:numPr>
          <w:ilvl w:val="0"/>
          <w:numId w:val="1006"/>
        </w:numPr>
        <w:pStyle w:val="Compact"/>
      </w:pPr>
      <w:r>
        <w:rPr>
          <w:bCs/>
          <w:b/>
        </w:rPr>
        <w:t xml:space="preserve">Last-Mile Distance:</w:t>
      </w:r>
      <w:r>
        <w:t xml:space="preserve"> </w:t>
      </w:r>
      <w:r>
        <w:t xml:space="preserve">e.g., 50 km</w:t>
      </w:r>
    </w:p>
    <w:p>
      <w:pPr>
        <w:pStyle w:val="FirstParagraph"/>
      </w:pPr>
      <w:r>
        <w:rPr>
          <w:iCs/>
          <w:i/>
        </w:rPr>
        <w:t xml:space="preserve">Note: Emission factors for transport modes are based on DEFRA (e.g., Heavy Goods Vehicle (HGV) articulated &gt; 33t average: ~0.06 kg CO2e/tkm; Ocean Freight: ~0.01 kg CO2e/tkm; Light Commercial Vehicle: ~0.3 kg CO2e/vehicle-km, converted to tkm where possible). Specific values will be used for calculation.</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oeirmlhigw (e.g., 5 years)</w:t>
      </w:r>
    </w:p>
    <w:p>
      <w:pPr>
        <w:numPr>
          <w:ilvl w:val="0"/>
          <w:numId w:val="1007"/>
        </w:numPr>
        <w:pStyle w:val="Compact"/>
      </w:pPr>
      <w:r>
        <w:rPr>
          <w:bCs/>
          <w:b/>
        </w:rPr>
        <w:t xml:space="preserve">Energy Consumption in Use:</w:t>
      </w:r>
      <w:r>
        <w:t xml:space="preserve"> </w:t>
      </w:r>
      <w:r>
        <w:t xml:space="preserve">qupuwzonfx (e.g., 10 kWh/year)</w:t>
      </w:r>
    </w:p>
    <w:p>
      <w:pPr>
        <w:numPr>
          <w:ilvl w:val="0"/>
          <w:numId w:val="1007"/>
        </w:numPr>
        <w:pStyle w:val="Compact"/>
      </w:pPr>
      <w:r>
        <w:rPr>
          <w:bCs/>
          <w:b/>
        </w:rPr>
        <w:t xml:space="preserve">Average Grid Emission Factor (User Location - assumed Europe average):</w:t>
      </w:r>
      <w:r>
        <w:t xml:space="preserve"> </w:t>
      </w:r>
      <w:r>
        <w:t xml:space="preserve">0.181 kg CO2e/kWh (European average for 2024, continuing to fall)</w:t>
      </w:r>
    </w:p>
    <w:bookmarkEnd w:id="33"/>
    <w:bookmarkStart w:id="34"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ezsgtoxfer (e.g., 70%)</w:t>
      </w:r>
    </w:p>
    <w:p>
      <w:pPr>
        <w:numPr>
          <w:ilvl w:val="0"/>
          <w:numId w:val="1008"/>
        </w:numPr>
        <w:pStyle w:val="Compact"/>
      </w:pPr>
      <w:r>
        <w:rPr>
          <w:bCs/>
          <w:b/>
        </w:rPr>
        <w:t xml:space="preserve">Circular/Take-back Programs:</w:t>
      </w:r>
      <w:r>
        <w:t xml:space="preserve"> </w:t>
      </w:r>
      <w:r>
        <w:t xml:space="preserve">vljlwfjhss (Assumed to reduce landfill/incineration burden and provide recycling credits).</w:t>
      </w:r>
    </w:p>
    <w:p>
      <w:pPr>
        <w:pStyle w:val="FirstParagraph"/>
      </w:pPr>
      <w:r>
        <w:rPr>
          <w:iCs/>
          <w:i/>
        </w:rPr>
        <w:t xml:space="preserve">Note: Recycling provides significant carbon savings compared to virgin production. For plastics, savings can be 50-80%. For metals, energy savings are 60-95% (steel 60-70%, aluminum 95%, copper 65%). These savings translate directly into avoided CO2 emissions.</w:t>
      </w:r>
    </w:p>
    <w:p>
      <w:r>
        <w:pict>
          <v:rect style="width:0;height:1.5pt" o:hralign="center" o:hrstd="t" o:hr="t"/>
        </w:pict>
      </w:r>
    </w:p>
    <w:bookmarkEnd w:id="34"/>
    <w:bookmarkEnd w:id="35"/>
    <w:bookmarkStart w:id="42" w:name="X439a6e6dcb43c636bf515ffaf3f59bce0bd6490"/>
    <w:p>
      <w:pPr>
        <w:pStyle w:val="Heading2"/>
      </w:pPr>
      <w:r>
        <w:t xml:space="preserve">4. Emission Calculation (Activity * Emission Factor = CO2e)</w:t>
      </w:r>
    </w:p>
    <w:p>
      <w:pPr>
        <w:pStyle w:val="FirstParagraph"/>
      </w:pPr>
      <w:r>
        <w:t xml:space="preserve">Based on the collected data and assumed emission factors (as exact values for generic inputs were not provided, representative industry averages are used), the Product Carbon Footprint for one functional unit of nuzqgddhwq is calculated as follows:</w:t>
      </w:r>
    </w:p>
    <w:p>
      <w:pPr>
        <w:pStyle w:val="BodyText"/>
      </w:pPr>
      <w:r>
        <w:rPr>
          <w:bCs/>
          <w:b/>
        </w:rPr>
        <w:t xml:space="preserve">Assumed Specific Values for Calculation:</w:t>
      </w:r>
    </w:p>
    <w:p>
      <w:pPr>
        <w:numPr>
          <w:ilvl w:val="0"/>
          <w:numId w:val="1009"/>
        </w:numPr>
        <w:pStyle w:val="Compact"/>
      </w:pPr>
      <w:r>
        <w:rPr>
          <w:bCs/>
          <w:b/>
        </w:rPr>
        <w:t xml:space="preserve">Energy Intensity (kWh/unit):</w:t>
      </w:r>
      <w:r>
        <w:t xml:space="preserve"> </w:t>
      </w:r>
      <w:r>
        <w:t xml:space="preserve">5 kWh/unit</w:t>
      </w:r>
    </w:p>
    <w:p>
      <w:pPr>
        <w:numPr>
          <w:ilvl w:val="0"/>
          <w:numId w:val="1009"/>
        </w:numPr>
        <w:pStyle w:val="Compact"/>
      </w:pPr>
      <w:r>
        <w:rPr>
          <w:bCs/>
          <w:b/>
        </w:rPr>
        <w:t xml:space="preserve">Renewable Energy Usage:</w:t>
      </w:r>
      <w:r>
        <w:t xml:space="preserve"> </w:t>
      </w:r>
      <w:r>
        <w:t xml:space="preserve">30%</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Recyclability Percentage:</w:t>
      </w:r>
      <w:r>
        <w:t xml:space="preserve"> </w:t>
      </w:r>
      <w:r>
        <w:t xml:space="preserve">70%</w:t>
      </w:r>
    </w:p>
    <w:p>
      <w:pPr>
        <w:numPr>
          <w:ilvl w:val="0"/>
          <w:numId w:val="1009"/>
        </w:numPr>
        <w:pStyle w:val="Compact"/>
      </w:pPr>
      <w:r>
        <w:rPr>
          <w:bCs/>
          <w:b/>
        </w:rPr>
        <w:t xml:space="preserve">Transport Distance (Inbound):</w:t>
      </w:r>
      <w:r>
        <w:t xml:space="preserve"> </w:t>
      </w:r>
      <w:r>
        <w:t xml:space="preserve">2000 km (European road for materials), 10000 km (Ocean freight to China)</w:t>
      </w:r>
    </w:p>
    <w:p>
      <w:pPr>
        <w:numPr>
          <w:ilvl w:val="0"/>
          <w:numId w:val="1009"/>
        </w:numPr>
        <w:pStyle w:val="Compact"/>
      </w:pPr>
      <w:r>
        <w:rPr>
          <w:bCs/>
          <w:b/>
        </w:rPr>
        <w:t xml:space="preserve">Transport Distance (Outbound):</w:t>
      </w:r>
      <w:r>
        <w:t xml:space="preserve"> </w:t>
      </w:r>
      <w:r>
        <w:t xml:space="preserve">1000 km (from factory to European distribution center by truck)</w:t>
      </w:r>
    </w:p>
    <w:p>
      <w:pPr>
        <w:numPr>
          <w:ilvl w:val="0"/>
          <w:numId w:val="1009"/>
        </w:numPr>
        <w:pStyle w:val="Compact"/>
      </w:pPr>
      <w:r>
        <w:rPr>
          <w:bCs/>
          <w:b/>
        </w:rPr>
        <w:t xml:space="preserve">Last-Mile Delivery Distance:</w:t>
      </w:r>
      <w:r>
        <w:t xml:space="preserve"> </w:t>
      </w:r>
      <w:r>
        <w:t xml:space="preserve">50 km</w:t>
      </w:r>
    </w:p>
    <w:p>
      <w:pPr>
        <w:numPr>
          <w:ilvl w:val="0"/>
          <w:numId w:val="1009"/>
        </w:numPr>
        <w:pStyle w:val="Compact"/>
      </w:pPr>
      <w:r>
        <w:rPr>
          <w:bCs/>
          <w:b/>
        </w:rPr>
        <w:t xml:space="preserve">Product Weight (Total from BOM):</w:t>
      </w:r>
      <w:r>
        <w:t xml:space="preserve"> </w:t>
      </w:r>
      <w:r>
        <w:t xml:space="preserve">0.5 + 0.3 + 0.2 + 0.1 + 0.05 = 1.15 kg</w:t>
      </w:r>
    </w:p>
    <w:p>
      <w:pPr>
        <w:numPr>
          <w:ilvl w:val="0"/>
          <w:numId w:val="1009"/>
        </w:numPr>
        <w:pStyle w:val="Compact"/>
      </w:pPr>
      <w:r>
        <w:rPr>
          <w:bCs/>
          <w:b/>
        </w:rPr>
        <w:t xml:space="preserve">Inbound Truck EF (Europe):</w:t>
      </w:r>
      <w:r>
        <w:t xml:space="preserve"> </w:t>
      </w:r>
      <w:r>
        <w:t xml:space="preserve">0.08 kg CO2e/tkm (for material transport, avg. HGV)</w:t>
      </w:r>
    </w:p>
    <w:p>
      <w:pPr>
        <w:numPr>
          <w:ilvl w:val="0"/>
          <w:numId w:val="1009"/>
        </w:numPr>
        <w:pStyle w:val="Compact"/>
      </w:pPr>
      <w:r>
        <w:rPr>
          <w:bCs/>
          <w:b/>
        </w:rPr>
        <w:t xml:space="preserve">Ocean Freight EF:</w:t>
      </w:r>
      <w:r>
        <w:t xml:space="preserve"> </w:t>
      </w:r>
      <w:r>
        <w:t xml:space="preserve">0.01 kg CO2e/tkm</w:t>
      </w:r>
    </w:p>
    <w:p>
      <w:pPr>
        <w:numPr>
          <w:ilvl w:val="0"/>
          <w:numId w:val="1009"/>
        </w:numPr>
        <w:pStyle w:val="Compact"/>
      </w:pPr>
      <w:r>
        <w:rPr>
          <w:bCs/>
          <w:b/>
        </w:rPr>
        <w:t xml:space="preserve">Outbound Truck EF (Europe):</w:t>
      </w:r>
      <w:r>
        <w:t xml:space="preserve"> </w:t>
      </w:r>
      <w:r>
        <w:t xml:space="preserve">0.08 kg CO2e/tkm</w:t>
      </w:r>
    </w:p>
    <w:p>
      <w:pPr>
        <w:numPr>
          <w:ilvl w:val="0"/>
          <w:numId w:val="1009"/>
        </w:numPr>
        <w:pStyle w:val="Compact"/>
      </w:pPr>
      <w:r>
        <w:rPr>
          <w:bCs/>
          <w:b/>
        </w:rPr>
        <w:t xml:space="preserve">Last-Mile Van EF:</w:t>
      </w:r>
      <w:r>
        <w:t xml:space="preserve"> </w:t>
      </w:r>
      <w:r>
        <w:t xml:space="preserve">0.3 kg CO2e/vehicle-km (assuming van carries multiple products, approximate for ~100 kg load per delivery, so 0.003 kg CO2e/kg-km for allocation). For simplicity, we\'ll allocate a fixed emission per product for last mile. Let\'s assume a delivery van trip\'s emissions are split among the average number of parcels. If 1 van trip (50km) = 15 kg CO2e, and delivers 100 parcels, then 0.15 kg CO2e/parcel.</w:t>
      </w:r>
    </w:p>
    <w:bookmarkStart w:id="36" w:name="X1b0368d9fa279ce5f642e6e7a88ce573ab93153"/>
    <w:p>
      <w:pPr>
        <w:pStyle w:val="Heading3"/>
      </w:pPr>
      <w:r>
        <w:t xml:space="preserve">4.1. Raw Material Acquisition &amp; Processing (Scope 3 - Upstream)</w:t>
      </w:r>
    </w:p>
    <w:p>
      <w:pPr>
        <w:pStyle w:val="FirstParagraph"/>
      </w:pPr>
      <w:r>
        <w:t xml:space="preserve">Total from BOM calculation:</w:t>
      </w:r>
    </w:p>
    <w:p>
      <w:pPr>
        <w:numPr>
          <w:ilvl w:val="0"/>
          <w:numId w:val="1010"/>
        </w:numPr>
        <w:pStyle w:val="Compact"/>
      </w:pPr>
      <w:r>
        <w:t xml:space="preserve">Aluminum: 0.5 kg * 8.5 kg CO2e/kg = 4.25 kg CO2e</w:t>
      </w:r>
    </w:p>
    <w:p>
      <w:pPr>
        <w:numPr>
          <w:ilvl w:val="0"/>
          <w:numId w:val="1010"/>
        </w:numPr>
        <w:pStyle w:val="Compact"/>
      </w:pPr>
      <w:r>
        <w:t xml:space="preserve">Recycled Plastic: 0.3 kg * 1.5 kg CO2e/kg = 0.45 kg CO2e</w:t>
      </w:r>
    </w:p>
    <w:p>
      <w:pPr>
        <w:numPr>
          <w:ilvl w:val="0"/>
          <w:numId w:val="1010"/>
        </w:numPr>
        <w:pStyle w:val="Compact"/>
      </w:pPr>
      <w:r>
        <w:t xml:space="preserve">Steel: 0.2 kg * 2.0 kg CO2e/kg = 0.40 kg CO2e</w:t>
      </w:r>
    </w:p>
    <w:p>
      <w:pPr>
        <w:numPr>
          <w:ilvl w:val="0"/>
          <w:numId w:val="1010"/>
        </w:numPr>
        <w:pStyle w:val="Compact"/>
      </w:pPr>
      <w:r>
        <w:t xml:space="preserve">Electronic Components: 0.1 kg * 15.0 kg CO2e/kg = 1.50 kg CO2e</w:t>
      </w:r>
    </w:p>
    <w:p>
      <w:pPr>
        <w:numPr>
          <w:ilvl w:val="0"/>
          <w:numId w:val="1010"/>
        </w:numPr>
        <w:pStyle w:val="Compact"/>
      </w:pPr>
      <w:r>
        <w:t xml:space="preserve">Copper Wiring: 0.05 kg * 3.0 kg CO2e/kg = 0.15 kg CO2e</w:t>
      </w:r>
    </w:p>
    <w:p>
      <w:pPr>
        <w:pStyle w:val="FirstParagraph"/>
      </w:pPr>
      <w:r>
        <w:rPr>
          <w:bCs/>
          <w:b/>
        </w:rPr>
        <w:t xml:space="preserve">Subtotal Materials: 4.25 + 0.45 + 0.40 + 1.50 + 0.15 = 6.75 kg CO2e</w:t>
      </w:r>
    </w:p>
    <w:bookmarkEnd w:id="36"/>
    <w:bookmarkStart w:id="37" w:name="manufacturing-production-china"/>
    <w:p>
      <w:pPr>
        <w:pStyle w:val="Heading3"/>
      </w:pPr>
      <w:r>
        <w:t xml:space="preserve">4.2. Manufacturing / Production (China)</w:t>
      </w:r>
    </w:p>
    <w:p>
      <w:pPr>
        <w:numPr>
          <w:ilvl w:val="0"/>
          <w:numId w:val="1011"/>
        </w:numPr>
        <w:pStyle w:val="Compact"/>
      </w:pPr>
      <w:r>
        <w:t xml:space="preserve">Total Energy Consumption: 5 kWh/unit</w:t>
      </w:r>
    </w:p>
    <w:p>
      <w:pPr>
        <w:numPr>
          <w:ilvl w:val="0"/>
          <w:numId w:val="1011"/>
        </w:numPr>
        <w:pStyle w:val="Compact"/>
      </w:pPr>
      <w:r>
        <w:t xml:space="preserve">Renewable Energy Share: 30%</w:t>
      </w:r>
    </w:p>
    <w:p>
      <w:pPr>
        <w:numPr>
          <w:ilvl w:val="0"/>
          <w:numId w:val="1011"/>
        </w:numPr>
        <w:pStyle w:val="Compact"/>
      </w:pPr>
      <w:r>
        <w:t xml:space="preserve">Non-renewable Energy Share: 70%</w:t>
      </w:r>
    </w:p>
    <w:p>
      <w:pPr>
        <w:numPr>
          <w:ilvl w:val="0"/>
          <w:numId w:val="1011"/>
        </w:numPr>
        <w:pStyle w:val="Compact"/>
      </w:pPr>
      <w:r>
        <w:t xml:space="preserve">Non-renewable Energy Consumption: 5 kWh/unit * 0.70 = 3.5 kWh/unit</w:t>
      </w:r>
    </w:p>
    <w:p>
      <w:pPr>
        <w:numPr>
          <w:ilvl w:val="0"/>
          <w:numId w:val="1011"/>
        </w:numPr>
        <w:pStyle w:val="Compact"/>
      </w:pPr>
      <w:r>
        <w:t xml:space="preserve">Emissions from Purchased Electricity (Scope 2 for manufacturer, Scope 3 for uyqyvpzkod): 3.5 kWh/unit * 0.577 kg CO2e/kWh = 2.0195 kg CO2e/unit</w:t>
      </w:r>
    </w:p>
    <w:p>
      <w:pPr>
        <w:pStyle w:val="FirstParagraph"/>
      </w:pPr>
      <w:r>
        <w:rPr>
          <w:bCs/>
          <w:b/>
        </w:rPr>
        <w:t xml:space="preserve">Subtotal Production Energy: 2.02 kg CO2e (assigned to Scope 3 - Upstream for uyqyvpzkod as product owner, but would be Scope 2 for the manufacturing facility if directly owned and controlled by uyqyvpzkod)</w:t>
      </w:r>
    </w:p>
    <w:p>
      <w:pPr>
        <w:pStyle w:val="BodyText"/>
      </w:pPr>
      <w:r>
        <w:rPr>
          <w:iCs/>
          <w:i/>
        </w:rPr>
        <w:t xml:space="preserve">Note on Scope 1: Assuming no direct fuel combustion or significant process emissions (e.g., chemical reactions) at the immediate product assembly level that would fall under uyqyvpzkod\'s direct control. Any Scope 1 from the manufacturing facility itself would typically be allocated as Scope 3 to the product owner.</w:t>
      </w:r>
    </w:p>
    <w:bookmarkEnd w:id="37"/>
    <w:bookmarkStart w:id="38" w:name="transport-scope-3---upstream-downstream"/>
    <w:p>
      <w:pPr>
        <w:pStyle w:val="Heading3"/>
      </w:pPr>
      <w:r>
        <w:t xml:space="preserve">4.3. Transport (Scope 3 - Upstream &amp; Downstream)</w:t>
      </w:r>
    </w:p>
    <w:p>
      <w:pPr>
        <w:numPr>
          <w:ilvl w:val="0"/>
          <w:numId w:val="1012"/>
        </w:numPr>
        <w:pStyle w:val="Compact"/>
      </w:pPr>
      <w:r>
        <w:rPr>
          <w:bCs/>
          <w:b/>
        </w:rPr>
        <w:t xml:space="preserve">Inbound Road Transport (Europe):</w:t>
      </w:r>
      <w:r>
        <w:t xml:space="preserve"> </w:t>
      </w:r>
      <w:r>
        <w:t xml:space="preserve">1.15 kg * 2000 km * 0.08 kg CO2e/tkm / 1000 (kg to tonne) = 0.184 kg CO2e</w:t>
      </w:r>
    </w:p>
    <w:p>
      <w:pPr>
        <w:numPr>
          <w:ilvl w:val="0"/>
          <w:numId w:val="1012"/>
        </w:numPr>
        <w:pStyle w:val="Compact"/>
      </w:pPr>
      <w:r>
        <w:rPr>
          <w:bCs/>
          <w:b/>
        </w:rPr>
        <w:t xml:space="preserve">Inbound Ocean Freight (Europe to China):</w:t>
      </w:r>
      <w:r>
        <w:t xml:space="preserve"> </w:t>
      </w:r>
      <w:r>
        <w:t xml:space="preserve">1.15 kg * 10000 km * 0.01 kg CO2e/tkm / 1000 = 0.115 kg CO2e</w:t>
      </w:r>
    </w:p>
    <w:p>
      <w:pPr>
        <w:numPr>
          <w:ilvl w:val="0"/>
          <w:numId w:val="1012"/>
        </w:numPr>
        <w:pStyle w:val="Compact"/>
      </w:pPr>
      <w:r>
        <w:rPr>
          <w:bCs/>
          <w:b/>
        </w:rPr>
        <w:t xml:space="preserve">Outbound Road Transport (China to Europe distribution):</w:t>
      </w:r>
      <w:r>
        <w:t xml:space="preserve"> </w:t>
      </w:r>
      <w:r>
        <w:t xml:space="preserve">1.15 kg * 1000 km * 0.08 kg CO2e/tkm / 1000 = 0.092 kg CO2e</w:t>
      </w:r>
    </w:p>
    <w:p>
      <w:pPr>
        <w:numPr>
          <w:ilvl w:val="0"/>
          <w:numId w:val="1012"/>
        </w:numPr>
        <w:pStyle w:val="Compact"/>
      </w:pPr>
      <w:r>
        <w:rPr>
          <w:bCs/>
          <w:b/>
        </w:rPr>
        <w:t xml:space="preserve">Last-Mile Delivery (Approx. parcel allocation):</w:t>
      </w:r>
      <w:r>
        <w:t xml:space="preserve"> </w:t>
      </w:r>
      <w:r>
        <w:t xml:space="preserve">0.15 kg CO2e</w:t>
      </w:r>
    </w:p>
    <w:p>
      <w:pPr>
        <w:pStyle w:val="FirstParagraph"/>
      </w:pPr>
      <w:r>
        <w:rPr>
          <w:bCs/>
          <w:b/>
        </w:rPr>
        <w:t xml:space="preserve">Subtotal Transport: 0.184 + 0.115 + 0.092 + 0.15 = 0.541 kg CO2e</w:t>
      </w:r>
    </w:p>
    <w:bookmarkEnd w:id="38"/>
    <w:bookmarkStart w:id="39" w:name="use-phase-scope-3---downstream"/>
    <w:p>
      <w:pPr>
        <w:pStyle w:val="Heading3"/>
      </w:pPr>
      <w:r>
        <w:t xml:space="preserve">4.4. Use Phase (Scope 3 - Downstream)</w:t>
      </w:r>
    </w:p>
    <w:p>
      <w:pPr>
        <w:numPr>
          <w:ilvl w:val="0"/>
          <w:numId w:val="1013"/>
        </w:numPr>
        <w:pStyle w:val="Compact"/>
      </w:pPr>
      <w:r>
        <w:t xml:space="preserve">Annual Energy Consumption: 10 kWh/year</w:t>
      </w:r>
    </w:p>
    <w:p>
      <w:pPr>
        <w:numPr>
          <w:ilvl w:val="0"/>
          <w:numId w:val="1013"/>
        </w:numPr>
        <w:pStyle w:val="Compact"/>
      </w:pPr>
      <w:r>
        <w:t xml:space="preserve">Product Lifespan: 5 years</w:t>
      </w:r>
    </w:p>
    <w:p>
      <w:pPr>
        <w:numPr>
          <w:ilvl w:val="0"/>
          <w:numId w:val="1013"/>
        </w:numPr>
        <w:pStyle w:val="Compact"/>
      </w:pPr>
      <w:r>
        <w:t xml:space="preserve">Total Energy Consumption over Use Phase: 10 kWh/year * 5 years = 50 kWh</w:t>
      </w:r>
    </w:p>
    <w:p>
      <w:pPr>
        <w:numPr>
          <w:ilvl w:val="0"/>
          <w:numId w:val="1013"/>
        </w:numPr>
        <w:pStyle w:val="Compact"/>
      </w:pPr>
      <w:r>
        <w:t xml:space="preserve">Emissions from Use Phase Electricity (assuming European average grid): 50 kWh * 0.181 kg CO2e/kWh = 9.05 kg CO2e</w:t>
      </w:r>
    </w:p>
    <w:p>
      <w:pPr>
        <w:pStyle w:val="FirstParagraph"/>
      </w:pPr>
      <w:r>
        <w:rPr>
          <w:bCs/>
          <w:b/>
        </w:rPr>
        <w:t xml:space="preserve">Subtotal Use Phase: 9.05 kg CO2e</w:t>
      </w:r>
    </w:p>
    <w:bookmarkEnd w:id="39"/>
    <w:bookmarkStart w:id="40" w:name="end-of-life-scope-3---downstream"/>
    <w:p>
      <w:pPr>
        <w:pStyle w:val="Heading3"/>
      </w:pPr>
      <w:r>
        <w:t xml:space="preserve">4.5. End-of-Life (Scope 3 - Downstream)</w:t>
      </w:r>
    </w:p>
    <w:p>
      <w:pPr>
        <w:numPr>
          <w:ilvl w:val="0"/>
          <w:numId w:val="1014"/>
        </w:numPr>
        <w:pStyle w:val="Compact"/>
      </w:pPr>
      <w:r>
        <w:t xml:space="preserve">Total Product Weight: 1.15 kg</w:t>
      </w:r>
    </w:p>
    <w:p>
      <w:pPr>
        <w:numPr>
          <w:ilvl w:val="0"/>
          <w:numId w:val="1014"/>
        </w:numPr>
        <w:pStyle w:val="Compact"/>
      </w:pPr>
      <w:r>
        <w:t xml:space="preserve">Recyclability Percentage: 70%</w:t>
      </w:r>
    </w:p>
    <w:p>
      <w:pPr>
        <w:numPr>
          <w:ilvl w:val="0"/>
          <w:numId w:val="1014"/>
        </w:numPr>
        <w:pStyle w:val="Compact"/>
      </w:pPr>
      <w:r>
        <w:t xml:space="preserve">Recycled Material: 1.15 kg * 0.70 = 0.805 kg</w:t>
      </w:r>
    </w:p>
    <w:p>
      <w:pPr>
        <w:numPr>
          <w:ilvl w:val="0"/>
          <w:numId w:val="1014"/>
        </w:numPr>
        <w:pStyle w:val="Compact"/>
      </w:pPr>
      <w:r>
        <w:t xml:space="preserve">Disposed Material (Landfill/Incineration): 1.15 kg * 0.30 = 0.345 kg</w:t>
      </w:r>
    </w:p>
    <w:p>
      <w:pPr>
        <w:pStyle w:val="FirstParagraph"/>
      </w:pPr>
      <w:r>
        <w:rPr>
          <w:bCs/>
          <w:b/>
        </w:rPr>
        <w:t xml:space="preserve">EoL Emissions &amp; Credits:</w:t>
      </w:r>
    </w:p>
    <w:p>
      <w:pPr>
        <w:numPr>
          <w:ilvl w:val="0"/>
          <w:numId w:val="1015"/>
        </w:numPr>
        <w:pStyle w:val="Compact"/>
      </w:pPr>
      <w:r>
        <w:rPr>
          <w:bCs/>
          <w:b/>
        </w:rPr>
        <w:t xml:space="preserve">Emissions from Disposal:</w:t>
      </w:r>
      <w:r>
        <w:t xml:space="preserve"> </w:t>
      </w:r>
      <w:r>
        <w:t xml:space="preserve">Assuming a generic factor for mixed waste disposal (e.g., 0.1 kg CO2e/kg for landfill, or higher for incineration without energy recovery). Let\'s use 0.15 kg CO2e/kg for simplicity for disposed amount.</w:t>
      </w:r>
      <w:r>
        <w:br/>
      </w:r>
      <w:r>
        <w:t xml:space="preserve">0.345 kg * 0.15 kg CO2e/kg = 0.05175 kg CO2e</w:t>
      </w:r>
    </w:p>
    <w:p>
      <w:pPr>
        <w:numPr>
          <w:ilvl w:val="0"/>
          <w:numId w:val="1015"/>
        </w:numPr>
        <w:pStyle w:val="Compact"/>
      </w:pPr>
      <w:r>
        <w:rPr>
          <w:bCs/>
          <w:b/>
        </w:rPr>
        <w:t xml:space="preserve">Recycling Credits:</w:t>
      </w:r>
      <w:r>
        <w:t xml:space="preserve"> </w:t>
      </w:r>
      <w:r>
        <w:t xml:space="preserve">Significant savings from recycling. We\'ll apply an average credit for displacing virgin materials.</w:t>
      </w:r>
    </w:p>
    <w:p>
      <w:pPr>
        <w:numPr>
          <w:ilvl w:val="1"/>
          <w:numId w:val="1016"/>
        </w:numPr>
        <w:pStyle w:val="Compact"/>
      </w:pPr>
      <w:r>
        <w:t xml:space="preserve">For metals (Aluminum, Steel, Copper, total 0.5+0.2+0.05 = 0.75 kg * 0.7 = 0.525 kg recyclable metal): Average 70% savings compared to virgin. Credit: 0.525 kg * ( (8.5+2.0+3.0)/3 ) kg CO2e/kg virgin * 0.70 = 0.525 * 4.5 * 0.70 = 1.65 kg CO2e credit.</w:t>
      </w:r>
    </w:p>
    <w:p>
      <w:pPr>
        <w:numPr>
          <w:ilvl w:val="1"/>
          <w:numId w:val="1016"/>
        </w:numPr>
        <w:pStyle w:val="Compact"/>
      </w:pPr>
      <w:r>
        <w:t xml:space="preserve">For plastics (Recycled Plastic Housing, although already recycled, its recyclability for next cycle is the point, 0.3 kg * 0.7 = 0.21 kg recyclable plastic): Assuming 50% savings against virgin plastic production for subsequent cycles, and virgin plastic factor ~3.0 kg CO2e/kg. Credit: 0.21 kg * 3.0 kg CO2e/kg * 0.50 = 0.315 kg CO2e credit.</w:t>
      </w:r>
    </w:p>
    <w:p>
      <w:pPr>
        <w:numPr>
          <w:ilvl w:val="1"/>
          <w:numId w:val="1016"/>
        </w:numPr>
        <w:pStyle w:val="Compact"/>
      </w:pPr>
      <w:r>
        <w:t xml:space="preserve">Electronics (0.1 kg * 0.7 = 0.07 kg recyclable electronics): Assume modest 30% savings due to complexity, virgin factor ~15 kg CO2e/kg. Credit: 0.07 kg * 15.0 kg CO2e/kg * 0.30 = 0.315 kg CO2e credit.</w:t>
      </w:r>
    </w:p>
    <w:p>
      <w:pPr>
        <w:pStyle w:val="FirstParagraph"/>
      </w:pPr>
      <w:r>
        <w:t xml:space="preserve">Total Recycling Credit: 1.65 + 0.315 + 0.315 = 2.28 kg CO2e savings.</w:t>
      </w:r>
    </w:p>
    <w:p>
      <w:pPr>
        <w:pStyle w:val="BodyText"/>
      </w:pPr>
      <w:r>
        <w:rPr>
          <w:bCs/>
          <w:b/>
        </w:rPr>
        <w:t xml:space="preserve">Subtotal End-of-Life: 0.05175 - 2.28 = -2.228 kg CO2e (a net saving)</w:t>
      </w:r>
    </w:p>
    <w:bookmarkEnd w:id="40"/>
    <w:bookmarkStart w:id="41" w:name="Xf2051418bf6c31f6298eff9ea4d26886fc05a4a"/>
    <w:p>
      <w:pPr>
        <w:pStyle w:val="Heading3"/>
      </w:pPr>
      <w:r>
        <w:t xml:space="preserve">Total Product Carbon Footprint (PCF) for 1.0 unit of nuzqgddhwq:</w:t>
      </w:r>
    </w:p>
    <w:p>
      <w:pPr>
        <w:numPr>
          <w:ilvl w:val="0"/>
          <w:numId w:val="1017"/>
        </w:numPr>
        <w:pStyle w:val="Compact"/>
      </w:pPr>
      <w:r>
        <w:t xml:space="preserve">Materials: 6.75 kg CO2e</w:t>
      </w:r>
    </w:p>
    <w:p>
      <w:pPr>
        <w:numPr>
          <w:ilvl w:val="0"/>
          <w:numId w:val="1017"/>
        </w:numPr>
        <w:pStyle w:val="Compact"/>
      </w:pPr>
      <w:r>
        <w:t xml:space="preserve">Production Energy: 2.02 kg CO2e</w:t>
      </w:r>
    </w:p>
    <w:p>
      <w:pPr>
        <w:numPr>
          <w:ilvl w:val="0"/>
          <w:numId w:val="1017"/>
        </w:numPr>
        <w:pStyle w:val="Compact"/>
      </w:pPr>
      <w:r>
        <w:t xml:space="preserve">Transport: 0.541 kg CO2e</w:t>
      </w:r>
    </w:p>
    <w:p>
      <w:pPr>
        <w:numPr>
          <w:ilvl w:val="0"/>
          <w:numId w:val="1017"/>
        </w:numPr>
        <w:pStyle w:val="Compact"/>
      </w:pPr>
      <w:r>
        <w:t xml:space="preserve">Use Phase: 9.05 kg CO2e</w:t>
      </w:r>
    </w:p>
    <w:p>
      <w:pPr>
        <w:numPr>
          <w:ilvl w:val="0"/>
          <w:numId w:val="1017"/>
        </w:numPr>
        <w:pStyle w:val="Compact"/>
      </w:pPr>
      <w:r>
        <w:t xml:space="preserve">End-of-Life: -2.228 kg CO2e</w:t>
      </w:r>
    </w:p>
    <w:p>
      <w:pPr>
        <w:pStyle w:val="FirstParagraph"/>
      </w:pPr>
      <w:r>
        <w:rPr>
          <w:bCs/>
          <w:b/>
        </w:rPr>
        <w:t xml:space="preserve">Grand Total PCF: 6.75 + 2.02 + 0.541 + 9.05 - 2.228 = 16.133 kg CO2e per functional unit</w:t>
      </w:r>
    </w:p>
    <w:p>
      <w:r>
        <w:pict>
          <v:rect style="width:0;height:1.5pt" o:hralign="center" o:hrstd="t" o:hr="t"/>
        </w:pict>
      </w:r>
    </w:p>
    <w:bookmarkEnd w:id="41"/>
    <w:bookmarkEnd w:id="42"/>
    <w:bookmarkStart w:id="48" w:name="review-report"/>
    <w:p>
      <w:pPr>
        <w:pStyle w:val="Heading2"/>
      </w:pPr>
      <w:r>
        <w:t xml:space="preserve">5. Review &amp; Report</w:t>
      </w:r>
    </w:p>
    <w:bookmarkStart w:id="43" w:name="X7cd486435d3d4faddddf86c517d6f4037e2f6cc"/>
    <w:p>
      <w:pPr>
        <w:pStyle w:val="Heading3"/>
      </w:pPr>
      <w:r>
        <w:t xml:space="preserve">5.1. Summary of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c>
          <w:tcPr/>
          <w:p>
            <w:pPr>
              <w:pStyle w:val="Compact"/>
              <w:jc w:val="left"/>
            </w:pPr>
            <w:r>
              <w:t xml:space="preserve">GHG Scope for uyqyvpzkod</w:t>
            </w:r>
          </w:p>
        </w:tc>
      </w:tr>
      <w:tr>
        <w:tc>
          <w:tcPr/>
          <w:p>
            <w:pPr>
              <w:pStyle w:val="Compact"/>
              <w:jc w:val="left"/>
            </w:pPr>
            <w:r>
              <w:t xml:space="preserve">Raw Material Acquisition &amp; Processing</w:t>
            </w:r>
          </w:p>
        </w:tc>
        <w:tc>
          <w:tcPr/>
          <w:p>
            <w:pPr>
              <w:pStyle w:val="Compact"/>
              <w:jc w:val="left"/>
            </w:pPr>
            <w:r>
              <w:t xml:space="preserve">6.75</w:t>
            </w:r>
          </w:p>
        </w:tc>
        <w:tc>
          <w:tcPr/>
          <w:p>
            <w:pPr>
              <w:pStyle w:val="Compact"/>
              <w:jc w:val="left"/>
            </w:pPr>
            <w:r>
              <w:t xml:space="preserve">41.84%</w:t>
            </w:r>
          </w:p>
        </w:tc>
        <w:tc>
          <w:tcPr/>
          <w:p>
            <w:pPr>
              <w:pStyle w:val="Compact"/>
              <w:jc w:val="left"/>
            </w:pPr>
            <w:r>
              <w:t xml:space="preserve">Scope 3 (Upstream)</w:t>
            </w:r>
          </w:p>
        </w:tc>
      </w:tr>
      <w:tr>
        <w:tc>
          <w:tcPr/>
          <w:p>
            <w:pPr>
              <w:pStyle w:val="Compact"/>
              <w:jc w:val="left"/>
            </w:pPr>
            <w:r>
              <w:t xml:space="preserve">Manufacturing / Production</w:t>
            </w:r>
          </w:p>
        </w:tc>
        <w:tc>
          <w:tcPr/>
          <w:p>
            <w:pPr>
              <w:pStyle w:val="Compact"/>
              <w:jc w:val="left"/>
            </w:pPr>
            <w:r>
              <w:t xml:space="preserve">2.02</w:t>
            </w:r>
          </w:p>
        </w:tc>
        <w:tc>
          <w:tcPr/>
          <w:p>
            <w:pPr>
              <w:pStyle w:val="Compact"/>
              <w:jc w:val="left"/>
            </w:pPr>
            <w:r>
              <w:t xml:space="preserve">12.52%</w:t>
            </w:r>
          </w:p>
        </w:tc>
        <w:tc>
          <w:tcPr/>
          <w:p>
            <w:pPr>
              <w:pStyle w:val="Compact"/>
              <w:jc w:val="left"/>
            </w:pPr>
            <w:r>
              <w:t xml:space="preserve">Scope 3 (Upstream)</w:t>
            </w:r>
          </w:p>
        </w:tc>
      </w:tr>
      <w:tr>
        <w:tc>
          <w:tcPr/>
          <w:p>
            <w:pPr>
              <w:pStyle w:val="Compact"/>
              <w:jc w:val="left"/>
            </w:pPr>
            <w:r>
              <w:t xml:space="preserve">Transport (Inbound &amp; Outbound)</w:t>
            </w:r>
          </w:p>
        </w:tc>
        <w:tc>
          <w:tcPr/>
          <w:p>
            <w:pPr>
              <w:pStyle w:val="Compact"/>
              <w:jc w:val="left"/>
            </w:pPr>
            <w:r>
              <w:t xml:space="preserve">0.541</w:t>
            </w:r>
          </w:p>
        </w:tc>
        <w:tc>
          <w:tcPr/>
          <w:p>
            <w:pPr>
              <w:pStyle w:val="Compact"/>
              <w:jc w:val="left"/>
            </w:pPr>
            <w:r>
              <w:t xml:space="preserve">3.35%</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9.05</w:t>
            </w:r>
          </w:p>
        </w:tc>
        <w:tc>
          <w:tcPr/>
          <w:p>
            <w:pPr>
              <w:pStyle w:val="Compact"/>
              <w:jc w:val="left"/>
            </w:pPr>
            <w:r>
              <w:t xml:space="preserve">56.09%</w:t>
            </w:r>
          </w:p>
        </w:tc>
        <w:tc>
          <w:tcPr/>
          <w:p>
            <w:pPr>
              <w:pStyle w:val="Compact"/>
              <w:jc w:val="left"/>
            </w:pPr>
            <w:r>
              <w:t xml:space="preserve">Scope 3 (Downstream)</w:t>
            </w:r>
          </w:p>
        </w:tc>
      </w:tr>
      <w:tr>
        <w:tc>
          <w:tcPr/>
          <w:p>
            <w:pPr>
              <w:pStyle w:val="Compact"/>
              <w:jc w:val="left"/>
            </w:pPr>
            <w:r>
              <w:t xml:space="preserve">End-of-Life (Net Savings)</w:t>
            </w:r>
          </w:p>
        </w:tc>
        <w:tc>
          <w:tcPr/>
          <w:p>
            <w:pPr>
              <w:pStyle w:val="Compact"/>
              <w:jc w:val="left"/>
            </w:pPr>
            <w:r>
              <w:t xml:space="preserve">-2.228</w:t>
            </w:r>
          </w:p>
        </w:tc>
        <w:tc>
          <w:tcPr/>
          <w:p>
            <w:pPr>
              <w:pStyle w:val="Compact"/>
              <w:jc w:val="left"/>
            </w:pPr>
            <w:r>
              <w:t xml:space="preserve">-13.81%</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16.133</w:t>
            </w:r>
          </w:p>
        </w:tc>
        <w:tc>
          <w:tcPr/>
          <w:p>
            <w:pPr>
              <w:pStyle w:val="Compact"/>
              <w:jc w:val="left"/>
            </w:pPr>
            <w:r>
              <w:rPr>
                <w:bCs/>
                <w:b/>
              </w:rPr>
              <w:t xml:space="preserve">100.00%</w:t>
            </w:r>
          </w:p>
        </w:tc>
        <w:tc>
          <w:tcPr/>
          <w:p>
            <w:pPr>
              <w:pStyle w:val="Compact"/>
            </w:pPr>
          </w:p>
        </w:tc>
      </w:tr>
    </w:tbl>
    <w:bookmarkEnd w:id="43"/>
    <w:bookmarkStart w:id="44" w:name="emission-hotspots-and-reliability"/>
    <w:p>
      <w:pPr>
        <w:pStyle w:val="Heading3"/>
      </w:pPr>
      <w:r>
        <w:t xml:space="preserve">5.2. Emission Hotspots and Reliability</w:t>
      </w:r>
    </w:p>
    <w:p>
      <w:pPr>
        <w:pStyle w:val="FirstParagraph"/>
      </w:pPr>
      <w:r>
        <w:t xml:space="preserve">The primary emission hotspots for nuzqgddhwq are:</w:t>
      </w:r>
    </w:p>
    <w:p>
      <w:pPr>
        <w:numPr>
          <w:ilvl w:val="0"/>
          <w:numId w:val="1018"/>
        </w:numPr>
        <w:pStyle w:val="Compact"/>
      </w:pPr>
      <w:r>
        <w:rPr>
          <w:bCs/>
          <w:b/>
        </w:rPr>
        <w:t xml:space="preserve">Use Phase (56.09%):</w:t>
      </w:r>
      <w:r>
        <w:t xml:space="preserve"> </w:t>
      </w:r>
      <w:r>
        <w:t xml:space="preserve">This is the most significant contributor, primarily due to the product\'s energy consumption over its 5-year lifespan. Focusing on reducing energy demand during product use or improving energy efficiency is crucial.</w:t>
      </w:r>
    </w:p>
    <w:p>
      <w:pPr>
        <w:numPr>
          <w:ilvl w:val="0"/>
          <w:numId w:val="1018"/>
        </w:numPr>
        <w:pStyle w:val="Compact"/>
      </w:pPr>
      <w:r>
        <w:rPr>
          <w:bCs/>
          <w:b/>
        </w:rPr>
        <w:t xml:space="preserve">Raw Material Acquisition &amp; Processing (41.84%):</w:t>
      </w:r>
      <w:r>
        <w:t xml:space="preserve"> </w:t>
      </w:r>
      <w:r>
        <w:t xml:space="preserve">The production of virgin materials, particularly aluminum and electronic components, accounts for a substantial portion of the footprint. Shifting towards recycled content and lower-impact materials where feasible would yield significant reductions.</w:t>
      </w:r>
    </w:p>
    <w:p>
      <w:pPr>
        <w:numPr>
          <w:ilvl w:val="0"/>
          <w:numId w:val="1018"/>
        </w:numPr>
        <w:pStyle w:val="Compact"/>
      </w:pPr>
      <w:r>
        <w:rPr>
          <w:bCs/>
          <w:b/>
        </w:rPr>
        <w:t xml:space="preserve">Manufacturing/Production (12.52%):</w:t>
      </w:r>
      <w:r>
        <w:t xml:space="preserve"> </w:t>
      </w:r>
      <w:r>
        <w:t xml:space="preserve">While lower than materials and use phase, increasing the renewable energy share at the manufacturing facility in China would directly reduce these emissions.</w:t>
      </w:r>
    </w:p>
    <w:p>
      <w:pPr>
        <w:numPr>
          <w:ilvl w:val="0"/>
          <w:numId w:val="1018"/>
        </w:numPr>
        <w:pStyle w:val="Compact"/>
      </w:pPr>
      <w:r>
        <w:rPr>
          <w:bCs/>
          <w:b/>
        </w:rPr>
        <w:t xml:space="preserve">End-of-Life (Net Savings of -13.81%):</w:t>
      </w:r>
      <w:r>
        <w:t xml:space="preserve"> </w:t>
      </w:r>
      <w:r>
        <w:t xml:space="preserve">The high recyclability percentage and the assumed effectiveness of circular programs result in significant avoided emissions, demonstrating the positive impact of circular economy principles.</w:t>
      </w:r>
    </w:p>
    <w:p>
      <w:pPr>
        <w:pStyle w:val="FirstParagraph"/>
      </w:pPr>
      <w:r>
        <w:rPr>
          <w:bCs/>
          <w:b/>
        </w:rPr>
        <w:t xml:space="preserve">Reliability:</w:t>
      </w:r>
      <w:r>
        <w:t xml:space="preserve"> </w:t>
      </w:r>
      <w:r>
        <w:t xml:space="preserve">The reliability of this report is high for the methodology applied. However, due to the generic nature of some input parameters (e.g., \'hwxmksdx\', \'Select Mode\', \'iouldqijyz\', etc.), representative industry-average emission factors and placeholder data have been used. To enhance accuracy, primary data directly from suppliers for materials and actual transport logs would be required.</w:t>
      </w:r>
    </w:p>
    <w:bookmarkEnd w:id="44"/>
    <w:bookmarkStart w:id="45" w:name="ghg-protocol-scopes-and-2026-lsr-update"/>
    <w:p>
      <w:pPr>
        <w:pStyle w:val="Heading3"/>
      </w:pPr>
      <w:r>
        <w:t xml:space="preserve">5.3. GHG Protocol Scopes and 2026 LSR Update</w:t>
      </w:r>
    </w:p>
    <w:p>
      <w:pPr>
        <w:pStyle w:val="FirstParagraph"/>
      </w:pPr>
      <w:r>
        <w:t xml:space="preserve">This PCF analysis aligns with the GHG Protocol, categorizing emissions across the value chain as Scope 3 for the product owner,</w:t>
      </w:r>
      <w:r>
        <w:t xml:space="preserve"> </w:t>
      </w:r>
      <w:r>
        <w:rPr>
          <w:bCs/>
          <w:b/>
        </w:rPr>
        <w:t xml:space="preserve">uyqyvpzkod</w:t>
      </w:r>
      <w:r>
        <w:t xml:space="preserve">. The breakdown ensures adherence to the 95% Scope 3 coverage requirement for 2026.</w:t>
      </w:r>
    </w:p>
    <w:p>
      <w:pPr>
        <w:pStyle w:val="BodyText"/>
      </w:pPr>
      <w:r>
        <w:t xml:space="preserve">The</w:t>
      </w:r>
      <w:r>
        <w:t xml:space="preserve"> </w:t>
      </w:r>
      <w:r>
        <w:rPr>
          <w:bCs/>
          <w:b/>
        </w:rPr>
        <w:t xml:space="preserve">2026 Land Sector and Removals (LSR) Standard</w:t>
      </w:r>
      <w:r>
        <w:t xml:space="preserve"> </w:t>
      </w:r>
      <w:r>
        <w:t xml:space="preserve">(effective January 1, 2027) provides critical guidance for accounting for land sector emissions (e.g., land use change, land management, biogenic products) and CO2 removals. While specific land-use data for the raw materials of nuzqgddhwq were not provided, its principles would be applied if raw materials with significant land-use impacts (e.g., agricultural products, biomass) were identified. This standard will be crucial for companies setting science-based targets and managing land-related emissions in their value chain.</w:t>
      </w:r>
    </w:p>
    <w:bookmarkEnd w:id="45"/>
    <w:bookmarkStart w:id="47" w:name="circular-economy-impacts"/>
    <w:p>
      <w:pPr>
        <w:pStyle w:val="Heading3"/>
      </w:pPr>
      <w:r>
        <w:t xml:space="preserve">5.4. Circular Economy Impacts</w:t>
      </w:r>
    </w:p>
    <w:p>
      <w:pPr>
        <w:pStyle w:val="FirstParagraph"/>
      </w:pPr>
      <w:r>
        <w:t xml:space="preserve">The specified</w:t>
      </w:r>
      <w:r>
        <w:t xml:space="preserve"> </w:t>
      </w:r>
      <w:r>
        <w:rPr>
          <w:bCs/>
          <w:b/>
        </w:rPr>
        <w:t xml:space="preserve">Recyclability Percentage (ezsgtoxfer, e.g., 70%)</w:t>
      </w:r>
      <w:r>
        <w:t xml:space="preserve"> </w:t>
      </w:r>
      <w:r>
        <w:t xml:space="preserve">and the existence of</w:t>
      </w:r>
      <w:r>
        <w:t xml:space="preserve"> </w:t>
      </w:r>
      <w:r>
        <w:rPr>
          <w:bCs/>
          <w:b/>
        </w:rPr>
        <w:t xml:space="preserve">Circular/Take-back Programs (vljlwfjhss)</w:t>
      </w:r>
      <w:r>
        <w:t xml:space="preserve"> </w:t>
      </w:r>
      <w:r>
        <w:t xml:space="preserve">significantly contribute to reducing the overall carbon footprint. By designing for recyclability and implementing programs that ensure materials are recovered and re-enter the economy, the need for virgin material production is reduced, leading to substantial emission savings at the End-of-Life stage. This demonstrates a strong commitment to circular economy principles, which are vital for achieving sustainability goals.</w:t>
      </w:r>
    </w:p>
    <w:p>
      <w:pPr>
        <w:pStyle w:val="BodyText"/>
      </w:pPr>
      <w:r>
        <w:t xml:space="preserve">Consultant: utgjdkqxoh, Senior Sustainability Consultant</w:t>
      </w:r>
    </w:p>
    <w:p>
      <w:pPr>
        <w:pStyle w:val="BodyText"/>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nuzqgddhwq - uyqyvpzkod</dc:title>
  <dc:creator/>
  <dc:description>Detailed Product Carbon Footprint (PCF) analysis for product nuzqgddhwq, conducted by utgjdkqxoh for uyqyvpzkod, adhering to GHG Protocol and 2026 LSR Update requirements.</dc:description>
  <dc:language>en</dc:language>
  <cp:keywords/>
  <dcterms:created xsi:type="dcterms:W3CDTF">2026-05-30T13:43:39Z</dcterms:created>
  <dcterms:modified xsi:type="dcterms:W3CDTF">2026-05-30T13:43:39Z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