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nuyzrnijdl</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nuyzrnijdl</w:t>
      </w:r>
    </w:p>
    <w:p>
      <w:pPr>
        <w:pStyle w:val="BodyText"/>
      </w:pPr>
      <w:r>
        <w:rPr>
          <w:bCs/>
          <w:b/>
        </w:rPr>
        <w:t xml:space="preserve">Company:</w:t>
      </w:r>
      <w:r>
        <w:t xml:space="preserve"> </w:t>
      </w:r>
      <w:r>
        <w:t xml:space="preserve">zopxozhljs</w:t>
      </w:r>
    </w:p>
    <w:p>
      <w:pPr>
        <w:pStyle w:val="BodyText"/>
      </w:pPr>
      <w:r>
        <w:rPr>
          <w:bCs/>
          <w:b/>
        </w:rPr>
        <w:t xml:space="preserve">Senior Sustainability Consultant:</w:t>
      </w:r>
      <w:r>
        <w:t xml:space="preserve"> </w:t>
      </w:r>
      <w:r>
        <w:t xml:space="preserve">tgtokpksrp</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 Carbon Footprint. Specific numerical values for placeholders have been assumed for illustrative purposes where direct data was not provided in a calculable format. For precise calculations, primary and verified secondary data are essential.</w:t>
      </w:r>
    </w:p>
    <w:bookmarkEnd w:id="20"/>
    <w:bookmarkStart w:id="21" w:name="X0585e7a12fc6ea0a155f329e96f767d5636524d"/>
    <w:p>
      <w:pPr>
        <w:pStyle w:val="Heading1"/>
      </w:pPr>
      <w:r>
        <w:t xml:space="preserve">Product Carbon Footprint Report: nuyzrnijdl</w:t>
      </w:r>
    </w:p>
    <w:p>
      <w:pPr>
        <w:pStyle w:val="FirstParagraph"/>
      </w:pPr>
      <w:r>
        <w:t xml:space="preserve">Generated Date: May 24,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"nuyzrnijdl" manufactured by "zopxozhljs". The analysis was conducted by Senior Sustainability Consultant tgtokpksrp, adhering strictly to the GHG Protocol and incorporating the 2026 Land Sector and Removals (LSR) Standard. The objective is to identify greenhouse gas (GHG) emission hotspots across the product\'s lifecycle, from raw material extraction to end-of-life, within a "factory_gate" system boundary but extending to the full lifecycle for completeness, with a primary focus on the supply chain in Europe and final production in China. The report aims to provide actionable insights for emission reduction strategies and enhance transparency in sustainability reporting.</w:t>
      </w:r>
    </w:p>
    <w:bookmarkEnd w:id="22"/>
    <w:p>
      <w:r>
        <w:pict>
          <v:rect style="width:0;height:1.5pt" o:hralign="center" o:hrstd="t" o:hr="t"/>
        </w:pict>
      </w:r>
    </w:p>
    <w:bookmarkStart w:id="23" w:name="defining-the-scope"/>
    <w:p>
      <w:pPr>
        <w:pStyle w:val="Heading2"/>
      </w:pPr>
      <w:r>
        <w:t xml:space="preserve">1. Defining the Scope</w:t>
      </w:r>
    </w:p>
    <w:p>
      <w:pPr>
        <w:pStyle w:val="FirstParagraph"/>
      </w:pPr>
      <w:r>
        <w:t xml:space="preserve">The first step in calculating the Product Carbon Footprint (PCF) is to clearly define the scope of the assessment, ensuring consistency and comparability of results. This analysis adheres to the principles of the GHG Protocol.</w:t>
      </w:r>
    </w:p>
    <w:p>
      <w:pPr>
        <w:numPr>
          <w:ilvl w:val="0"/>
          <w:numId w:val="1001"/>
        </w:numPr>
        <w:pStyle w:val="Compact"/>
      </w:pPr>
      <w:r>
        <w:rPr>
          <w:bCs/>
          <w:b/>
        </w:rPr>
        <w:t xml:space="preserve">Functional Unit:</w:t>
      </w:r>
      <w:r>
        <w:t xml:space="preserve"> </w:t>
      </w:r>
      <w:r>
        <w:t xml:space="preserve">1.0 unit of nuyzrnijdl. This represents the quantified performance of the product system for use as a reference flow.</w:t>
      </w:r>
    </w:p>
    <w:p>
      <w:pPr>
        <w:numPr>
          <w:ilvl w:val="0"/>
          <w:numId w:val="1001"/>
        </w:numPr>
        <w:pStyle w:val="Compact"/>
      </w:pPr>
      <w:r>
        <w:rPr>
          <w:bCs/>
          <w:b/>
        </w:rPr>
        <w:t xml:space="preserve">System Boundary:</w:t>
      </w:r>
      <w:r>
        <w:t xml:space="preserve"> </w:t>
      </w:r>
      <w:r>
        <w:t xml:space="preserve">The primary system boundary for detailed calculation is "factory_gate", meaning emissions up to the point the product leaves the manufacturing facility. However, for comprehensive reporting as per GHG Protocol and to identify full lifecycle impacts, the analysis extends to include the Use Phase and End-of-Life, providing a holistic view of emissions associated with nuyzrnijdl.</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0"/>
        </w:numPr>
        <w:pStyle w:val="Compact"/>
      </w:pPr>
      <w:r>
        <w:t xml:space="preserve">This dual focus allows for consideration of region-specific emission factors and logistical complexities.</w:t>
      </w:r>
    </w:p>
    <w:p>
      <w:pPr>
        <w:numPr>
          <w:ilvl w:val="0"/>
          <w:numId w:val="1001"/>
        </w:numPr>
        <w:pStyle w:val="Compact"/>
      </w:pPr>
      <w:r>
        <w:rPr>
          <w:bCs/>
          <w:b/>
        </w:rPr>
        <w:t xml:space="preserve">Allocation:</w:t>
      </w:r>
      <w:r>
        <w:t xml:space="preserve"> </w:t>
      </w:r>
      <w:r>
        <w:t xml:space="preserve">Where co-products or by-products exist, allocation methods are applied based on established GHG Protocol guidelines, typically using physical relationships (e.g., mass) or economic value where appropriate. For this specific product, direct allocation is assumed given the functional unit.</w:t>
      </w:r>
    </w:p>
    <w:p>
      <w:pPr>
        <w:numPr>
          <w:ilvl w:val="0"/>
          <w:numId w:val="1001"/>
        </w:numPr>
        <w:pStyle w:val="Compact"/>
      </w:pPr>
      <w:r>
        <w:rPr>
          <w:bCs/>
          <w:b/>
        </w:rPr>
        <w:t xml:space="preserve">Accounting Standard:</w:t>
      </w:r>
      <w:r>
        <w:t xml:space="preserve"> </w:t>
      </w:r>
      <w:r>
        <w:t xml:space="preserve">This PCF analysis strictly follows the GHG Protocol Product Standard, incorporating its principles for categorizing emissions into Scope 1 (direct), Scope 2 (purchased energy), and Scope 3 (value chain) to ensure comprehensive and internationally recognized reporting. Furthermore, the 2026 Land Sector and Removals (LSR) Standard is applied for land use change and carbon removal impacts, enhancing the accuracy of biogenic carbon accounting.</w:t>
      </w:r>
    </w:p>
    <w:bookmarkEnd w:id="23"/>
    <w:p>
      <w:r>
        <w:pict>
          <v:rect style="width:0;height:1.5pt" o:hralign="center" o:hrstd="t" o:hr="t"/>
        </w:pict>
      </w:r>
    </w:p>
    <w:bookmarkStart w:id="30" w:name="X02ee0476bd3b09373e5497b8be8e9974c8b887d"/>
    <w:p>
      <w:pPr>
        <w:pStyle w:val="Heading2"/>
      </w:pPr>
      <w:r>
        <w:t xml:space="preserve">2. Mapping the Lifecycle and 3. Collecting Data</w:t>
      </w:r>
    </w:p>
    <w:p>
      <w:pPr>
        <w:pStyle w:val="FirstParagraph"/>
      </w:pPr>
      <w:r>
        <w:t xml:space="preserve">This section details the lifecycle stages of nuyzrnijdl and the data collection methodology, providing a comprehensive inventory of materials and energy inputs. Given the placeholder data for the Bill of Materials (BOM), specific numerical values will be illustrative, demonstrating the methodology.</w:t>
      </w:r>
    </w:p>
    <w:bookmarkStart w:id="25" w:name="X1198c8af25dd1a2ebffa686809674f976343a37"/>
    <w:p>
      <w:pPr>
        <w:pStyle w:val="Heading3"/>
      </w:pPr>
      <w:r>
        <w:t xml:space="preserve">2.1. Material Acquisition &amp; Pre-processing (Scope 3 - Upstream)</w:t>
      </w:r>
    </w:p>
    <w:p>
      <w:pPr>
        <w:pStyle w:val="FirstParagraph"/>
      </w:pPr>
      <w:r>
        <w:t xml:space="preserve">This stage includes the extraction of raw materials, their processing into usable components, and transport to the manufacturing facility. The Detailed Bill of Materials (BOM) for nuyzrnijdl is critical for this stage.</w:t>
      </w:r>
    </w:p>
    <w:bookmarkStart w:id="24" w:name="X10af3fd77283daea3eba97d9e1c740f44b2cfad"/>
    <w:p>
      <w:pPr>
        <w:pStyle w:val="Heading4"/>
      </w:pPr>
      <w:r>
        <w:t xml:space="preserve">Detailed Bill of Materials (BOM) Analysis - lykvpkwm</w:t>
      </w:r>
    </w:p>
    <w:p>
      <w:pPr>
        <w:pStyle w:val="FirstParagraph"/>
      </w:pPr>
      <w:r>
        <w:t xml:space="preserve">The provided BOM data, represented by `lykvpkwm`, follows the format: ID, Description, Category, Process, Qty, Unit, Emission Factor, Total Carbon. For illustrative purposes, we will use an example interpretation of this data to show how calculations are performed. Let\'s assume `lykvpkwm` translates to a set of material items with the following illustrative properties: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Polymer Resin for Casing</w:t>
            </w:r>
          </w:p>
        </w:tc>
        <w:tc>
          <w:tcPr/>
          <w:p>
            <w:pPr>
              <w:pStyle w:val="Compact"/>
              <w:jc w:val="left"/>
            </w:pPr>
            <w:r>
              <w:t xml:space="preserve">Plastics</w:t>
            </w:r>
          </w:p>
        </w:tc>
        <w:tc>
          <w:tcPr/>
          <w:p>
            <w:pPr>
              <w:pStyle w:val="Compact"/>
              <w:jc w:val="left"/>
            </w:pPr>
            <w:r>
              <w:t xml:space="preserve">Polymerization &amp; Granulation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3.0</w:t>
            </w:r>
          </w:p>
        </w:tc>
        <w:tc>
          <w:tcPr/>
          <w:p>
            <w:pPr>
              <w:pStyle w:val="Compact"/>
              <w:jc w:val="left"/>
            </w:pPr>
            <w:r>
              <w:t xml:space="preserve">0.75</w:t>
            </w:r>
          </w:p>
        </w:tc>
      </w:tr>
      <w:tr>
        <w:tc>
          <w:tcPr/>
          <w:p>
            <w:pPr>
              <w:pStyle w:val="Compact"/>
              <w:jc w:val="left"/>
            </w:pPr>
            <w:r>
              <w:t xml:space="preserve">MAT002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Mining &amp; Refining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MAT003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0.15</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Mfg.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p>
      <w:pPr>
        <w:pStyle w:val="BodyText"/>
      </w:pPr>
      <w:r>
        <w:rPr>
          <w:bCs/>
          <w:b/>
        </w:rPr>
        <w:t xml:space="preserve">Note:</w:t>
      </w:r>
      <w:r>
        <w:t xml:space="preserve"> </w:t>
      </w:r>
      <w:r>
        <w:t xml:space="preserve">The \'Total Carbon\' column in the above table is calculated as Quantity * Emission Factor, demonstrating how the actual `Total Carbon` from the provided `lykvpkwm` would be incorporated or validated if explicit calculation was needed from Qty and EF.</w:t>
      </w:r>
    </w:p>
    <w:p>
      <w:pPr>
        <w:pStyle w:val="BodyText"/>
      </w:pPr>
      <w:r>
        <w:t xml:space="preserve">For primary data points, direct supplier engagement is conducted to obtain specific material and energy consumption data. Secondary data points, where primary data is unavailable or insufficient, are sourced from recognized lifecycle inventory (LCI) databases like Ecoinvent and DEFRA, ensuring regional specificity where possible for Europe-focused supply chains and Chinese manufacturing.</w:t>
      </w:r>
    </w:p>
    <w:bookmarkEnd w:id="24"/>
    <w:bookmarkEnd w:id="25"/>
    <w:bookmarkStart w:id="26" w:name="manufacturing-production-scope-1-2"/>
    <w:p>
      <w:pPr>
        <w:pStyle w:val="Heading3"/>
      </w:pPr>
      <w:r>
        <w:t xml:space="preserve">2.2. Manufacturing / Production (Scope 1 &amp; 2)</w:t>
      </w:r>
    </w:p>
    <w:p>
      <w:pPr>
        <w:pStyle w:val="FirstParagraph"/>
      </w:pPr>
      <w:r>
        <w:t xml:space="preserve">This stage covers the energy consumption and direct emissions from the final production facility in China.</w:t>
      </w:r>
    </w:p>
    <w:p>
      <w:pPr>
        <w:numPr>
          <w:ilvl w:val="0"/>
          <w:numId w:val="1003"/>
        </w:numPr>
        <w:pStyle w:val="Compact"/>
      </w:pPr>
      <w:r>
        <w:rPr>
          <w:bCs/>
          <w:b/>
        </w:rPr>
        <w:t xml:space="preserve">Energy Intensity (kWh/unit):</w:t>
      </w:r>
      <w:r>
        <w:t xml:space="preserve"> </w:t>
      </w:r>
      <w:r>
        <w:t xml:space="preserve">`tdxivddfpr` (Illustrative: 15 kWh/unit)</w:t>
      </w:r>
    </w:p>
    <w:p>
      <w:pPr>
        <w:numPr>
          <w:ilvl w:val="0"/>
          <w:numId w:val="1003"/>
        </w:numPr>
        <w:pStyle w:val="Compact"/>
      </w:pPr>
      <w:r>
        <w:rPr>
          <w:bCs/>
          <w:b/>
        </w:rPr>
        <w:t xml:space="preserve">Renewable Energy Usage:</w:t>
      </w:r>
      <w:r>
        <w:t xml:space="preserve"> </w:t>
      </w:r>
      <w:r>
        <w:t xml:space="preserve">`ptpuppsfyx` (Illustrative: 60%)</w:t>
      </w:r>
    </w:p>
    <w:p>
      <w:pPr>
        <w:pStyle w:val="FirstParagraph"/>
      </w:pPr>
      <w:r>
        <w:t xml:space="preserve">The energy mix at the production facility (electricity, heat) determines Scope 2 emissions, while direct fuel combustion (e.g., for machinery, heating) contributes to Scope 1 emissions. The high percentage of renewable energy usage (`ptpuppsfyx`) significantly reduces the Scope 2 emissions associated with purchased electricity.</w:t>
      </w:r>
    </w:p>
    <w:p>
      <w:pPr>
        <w:pStyle w:val="BodyText"/>
      </w:pPr>
      <w:r>
        <w:rPr>
          <w:bCs/>
          <w:b/>
        </w:rPr>
        <w:t xml:space="preserve">Example Calculation (Illustrative):</w:t>
      </w:r>
    </w:p>
    <w:p>
      <w:pPr>
        <w:numPr>
          <w:ilvl w:val="0"/>
          <w:numId w:val="1004"/>
        </w:numPr>
        <w:pStyle w:val="Compact"/>
      </w:pPr>
      <w:r>
        <w:t xml:space="preserve">Total Energy Consumed:</w:t>
      </w:r>
      <w:r>
        <w:t xml:space="preserve"> </w:t>
      </w:r>
      <w:r>
        <w:rPr>
          <w:rStyle w:val="VerbatimChar"/>
        </w:rPr>
        <w:t xml:space="preserve">tdxivddfpr</w:t>
      </w:r>
      <w:r>
        <w:t xml:space="preserve"> </w:t>
      </w:r>
      <w:r>
        <w:t xml:space="preserve">(15 kWh/unit)</w:t>
      </w:r>
    </w:p>
    <w:p>
      <w:pPr>
        <w:numPr>
          <w:ilvl w:val="0"/>
          <w:numId w:val="1004"/>
        </w:numPr>
        <w:pStyle w:val="Compact"/>
      </w:pPr>
      <w:r>
        <w:t xml:space="preserve">Non-renewable Energy: 15 kWh/unit * (1 - 0.60) = 6 kWh/unit</w:t>
      </w:r>
    </w:p>
    <w:p>
      <w:pPr>
        <w:numPr>
          <w:ilvl w:val="0"/>
          <w:numId w:val="1004"/>
        </w:numPr>
        <w:pStyle w:val="Compact"/>
      </w:pPr>
      <w:r>
        <w:t xml:space="preserve">Emission Factor for grid electricity in China: 0.556 kg CO2e/kWh</w:t>
      </w:r>
    </w:p>
    <w:p>
      <w:pPr>
        <w:pStyle w:val="FirstParagraph"/>
      </w:pPr>
      <w:r>
        <w:t xml:space="preserve">Scope 1 emissions from direct fuel combustion are calculated based on fuel type and quantity, using country-specific emission factors.</w:t>
      </w:r>
    </w:p>
    <w:bookmarkEnd w:id="26"/>
    <w:bookmarkStart w:id="27" w:name="X71c2dcd675df23fc104d48ef6b7ab710cc88cf8"/>
    <w:p>
      <w:pPr>
        <w:pStyle w:val="Heading3"/>
      </w:pPr>
      <w:r>
        <w:t xml:space="preserve">2.3. Transport &amp; Distribution (Scope 3 - Downstream)</w:t>
      </w:r>
    </w:p>
    <w:p>
      <w:pPr>
        <w:pStyle w:val="FirstParagraph"/>
      </w:pPr>
      <w:r>
        <w:t xml:space="preserve">This involves the transportation of the finished product from the factory gate to the customer.</w:t>
      </w:r>
    </w:p>
    <w:p>
      <w:pPr>
        <w:numPr>
          <w:ilvl w:val="0"/>
          <w:numId w:val="1005"/>
        </w:numPr>
        <w:pStyle w:val="Compact"/>
      </w:pPr>
      <w:r>
        <w:rPr>
          <w:bCs/>
          <w:b/>
        </w:rPr>
        <w:t xml:space="preserve">Transport Mode:</w:t>
      </w:r>
      <w:r>
        <w:t xml:space="preserve"> </w:t>
      </w:r>
      <w:r>
        <w:t xml:space="preserve">`Select Mode` (Illustrative: Ocean Freight for intercontinental, Road Freight for intra-European)</w:t>
      </w:r>
    </w:p>
    <w:p>
      <w:pPr>
        <w:numPr>
          <w:ilvl w:val="0"/>
          <w:numId w:val="1005"/>
        </w:numPr>
        <w:pStyle w:val="Compact"/>
      </w:pPr>
      <w:r>
        <w:rPr>
          <w:bCs/>
          <w:b/>
        </w:rPr>
        <w:t xml:space="preserve">Transport Distance:</w:t>
      </w:r>
      <w:r>
        <w:t xml:space="preserve"> </w:t>
      </w:r>
      <w:r>
        <w:t xml:space="preserve">`jqrthixhho` (Illustrative: 10,000 km for ocean, 500 km for road)</w:t>
      </w:r>
    </w:p>
    <w:p>
      <w:pPr>
        <w:numPr>
          <w:ilvl w:val="0"/>
          <w:numId w:val="1005"/>
        </w:numPr>
        <w:pStyle w:val="Compact"/>
      </w:pPr>
      <w:r>
        <w:rPr>
          <w:bCs/>
          <w:b/>
        </w:rPr>
        <w:t xml:space="preserve">Last-Mile Delivery Channel:</w:t>
      </w:r>
      <w:r>
        <w:t xml:space="preserve"> </w:t>
      </w:r>
      <w:r>
        <w:t xml:space="preserve">`Delivery Type` (Illustrative: Standard Parcel Delivery)</w:t>
      </w:r>
    </w:p>
    <w:p>
      <w:pPr>
        <w:pStyle w:val="FirstParagraph"/>
      </w:pPr>
      <w:r>
        <w:t xml:space="preserve">Emission factors for transportation vary significantly by mode, fuel type, and load factor. Distances are combined for intercontinental and regional transport. We will use an illustrative product weight of 0.5 kg for calculation demonstrations.</w:t>
      </w:r>
    </w:p>
    <w:bookmarkEnd w:id="27"/>
    <w:bookmarkStart w:id="28" w:name="use-phase-scope-3---downstream"/>
    <w:p>
      <w:pPr>
        <w:pStyle w:val="Heading3"/>
      </w:pPr>
      <w:r>
        <w:t xml:space="preserve">2.4. Use Phase (Scope 3 - Downstream)</w:t>
      </w:r>
    </w:p>
    <w:p>
      <w:pPr>
        <w:pStyle w:val="FirstParagraph"/>
      </w:pPr>
      <w:r>
        <w:t xml:space="preserve">The energy consumed during the product\'s operational life significantly contributes to its footprint.</w:t>
      </w:r>
    </w:p>
    <w:p>
      <w:pPr>
        <w:numPr>
          <w:ilvl w:val="0"/>
          <w:numId w:val="1006"/>
        </w:numPr>
        <w:pStyle w:val="Compact"/>
      </w:pPr>
      <w:r>
        <w:rPr>
          <w:bCs/>
          <w:b/>
        </w:rPr>
        <w:t xml:space="preserve">Product Lifespan:</w:t>
      </w:r>
      <w:r>
        <w:t xml:space="preserve"> </w:t>
      </w:r>
      <w:r>
        <w:t xml:space="preserve">`wivtqypskg` (Illustrative: 5 years)</w:t>
      </w:r>
    </w:p>
    <w:p>
      <w:pPr>
        <w:numPr>
          <w:ilvl w:val="0"/>
          <w:numId w:val="1006"/>
        </w:numPr>
        <w:pStyle w:val="Compact"/>
      </w:pPr>
      <w:r>
        <w:rPr>
          <w:bCs/>
          <w:b/>
        </w:rPr>
        <w:t xml:space="preserve">Energy Consumption in Use:</w:t>
      </w:r>
      <w:r>
        <w:t xml:space="preserve"> </w:t>
      </w:r>
      <w:r>
        <w:t xml:space="preserve">`jpgjfejpel` (Illustrative: 5 kWh/year)</w:t>
      </w:r>
    </w:p>
    <w:p>
      <w:pPr>
        <w:pStyle w:val="FirstParagraph"/>
      </w:pPr>
      <w:r>
        <w:t xml:space="preserve">Emissions are calculated based on the total energy consumed over the product\'s lifespan and the electricity grid mix of the region where the product is predominantly used (assumed European grid for this analysis).</w:t>
      </w:r>
    </w:p>
    <w:bookmarkEnd w:id="28"/>
    <w:bookmarkStart w:id="29" w:name="end-of-life-eol-scope-3---downstream"/>
    <w:p>
      <w:pPr>
        <w:pStyle w:val="Heading3"/>
      </w:pPr>
      <w:r>
        <w:t xml:space="preserve">2.5. End-of-Life (EoL) (Scope 3 - Downstream)</w:t>
      </w:r>
    </w:p>
    <w:p>
      <w:pPr>
        <w:pStyle w:val="FirstParagraph"/>
      </w:pPr>
      <w:r>
        <w:t xml:space="preserve">This stage addresses the emissions associated with disposal, recycling, and recovery of the product at the end of its life.</w:t>
      </w:r>
    </w:p>
    <w:p>
      <w:pPr>
        <w:numPr>
          <w:ilvl w:val="0"/>
          <w:numId w:val="1007"/>
        </w:numPr>
        <w:pStyle w:val="Compact"/>
      </w:pPr>
      <w:r>
        <w:rPr>
          <w:bCs/>
          <w:b/>
        </w:rPr>
        <w:t xml:space="preserve">Recyclability Percentage:</w:t>
      </w:r>
      <w:r>
        <w:t xml:space="preserve"> </w:t>
      </w:r>
      <w:r>
        <w:t xml:space="preserve">`igwglsdsvp` (Illustrative: 80%)</w:t>
      </w:r>
    </w:p>
    <w:p>
      <w:pPr>
        <w:numPr>
          <w:ilvl w:val="0"/>
          <w:numId w:val="1007"/>
        </w:numPr>
        <w:pStyle w:val="Compact"/>
      </w:pPr>
      <w:r>
        <w:rPr>
          <w:bCs/>
          <w:b/>
        </w:rPr>
        <w:t xml:space="preserve">Circular/Take-back Programs:</w:t>
      </w:r>
      <w:r>
        <w:t xml:space="preserve"> </w:t>
      </w:r>
      <w:r>
        <w:t xml:space="preserve">`ervkgnqgfd` (Illustrative: Company-run take-back program)</w:t>
      </w:r>
    </w:p>
    <w:p>
      <w:pPr>
        <w:pStyle w:val="FirstParagraph"/>
      </w:pPr>
      <w:r>
        <w:t xml:space="preserve">The high recyclability percentage and the existence of circular/take-back programs significantly reduce the EoL impact by diverting waste from landfills and enabling material recovery. Credits can be applied for recycled content used in new products or for energy recovery.</w:t>
      </w:r>
    </w:p>
    <w:bookmarkEnd w:id="29"/>
    <w:bookmarkEnd w:id="30"/>
    <w:p>
      <w:r>
        <w:pict>
          <v:rect style="width:0;height:1.5pt" o:hralign="center" o:hrstd="t" o:hr="t"/>
        </w:pict>
      </w:r>
    </w:p>
    <w:bookmarkStart w:id="37" w:name="X3720d7d0541b3a6e3c473bd4daa188ddb828856"/>
    <w:p>
      <w:pPr>
        <w:pStyle w:val="Heading2"/>
      </w:pPr>
      <w:r>
        <w:t xml:space="preserve">4. Calculating Emissions (Activity * Emission Factor = CO2e)</w:t>
      </w:r>
    </w:p>
    <w:p>
      <w:pPr>
        <w:pStyle w:val="FirstParagraph"/>
      </w:pPr>
      <w:r>
        <w:t xml:space="preserve">The total Product Carbon Footprint (PCF) for nuyzrnijdl is the sum of emissions across all lifecycle stages, categorized according to the GHG Protocol\'s Scope 1, Scope 2, and Scope 3 definitions. All calculations use industry-standard emission factors, primarily sourced from Ecoinvent and DEFRA databases, adapted for the specified geographic scopes (China for production, Europe for supply chain and use phase).</w:t>
      </w:r>
    </w:p>
    <w:bookmarkStart w:id="31" w:name="scope-1-emissions-direct-emissions"/>
    <w:p>
      <w:pPr>
        <w:pStyle w:val="Heading3"/>
      </w:pPr>
      <w:r>
        <w:t xml:space="preserve">4.1. Scope 1 Emissions (Direct Emissions)</w:t>
      </w:r>
    </w:p>
    <w:p>
      <w:pPr>
        <w:pStyle w:val="FirstParagraph"/>
      </w:pPr>
      <w:r>
        <w:t xml:space="preserve">These are direct GHG emissions from sources owned or controlled by zopxozhljs, primarily from the manufacturing facility in China.</w:t>
      </w:r>
    </w:p>
    <w:p>
      <w:pPr>
        <w:pStyle w:val="BodyText"/>
      </w:pPr>
      <w:r>
        <w:rPr>
          <w:bCs/>
          <w:b/>
        </w:rPr>
        <w:t xml:space="preserve">Example:</w:t>
      </w:r>
      <w:r>
        <w:t xml:space="preserve"> </w:t>
      </w:r>
      <w:r>
        <w:t xml:space="preserve">Direct fuel combustion for heating or on-site vehicle fleets at the manufacturing plant.</w:t>
      </w:r>
    </w:p>
    <w:p>
      <w:pPr>
        <w:pStyle w:val="BodyText"/>
      </w:pPr>
      <w:r>
        <w:t xml:space="preserve">Calculated Emissions (Illustrative): 0.05 kg CO2e/unit (e.g., from burning natural gas for process heat, based on facility\'s fuel consumption).</w:t>
      </w:r>
    </w:p>
    <w:bookmarkEnd w:id="31"/>
    <w:bookmarkStart w:id="32" w:name="scope-2-emissions-energy-indirect"/>
    <w:p>
      <w:pPr>
        <w:pStyle w:val="Heading3"/>
      </w:pPr>
      <w:r>
        <w:t xml:space="preserve">4.2. Scope 2 Emissions (Energy Indirect)</w:t>
      </w:r>
    </w:p>
    <w:p>
      <w:pPr>
        <w:pStyle w:val="FirstParagraph"/>
      </w:pPr>
      <w:r>
        <w:t xml:space="preserve">These are GHG emissions from the generation of purchased electricity, heat, or steam consumed by zopxozhljs.</w:t>
      </w:r>
    </w:p>
    <w:p>
      <w:pPr>
        <w:pStyle w:val="BodyText"/>
      </w:pPr>
      <w:r>
        <w:rPr>
          <w:bCs/>
          <w:b/>
        </w:rPr>
        <w:t xml:space="preserve">Example:</w:t>
      </w:r>
      <w:r>
        <w:t xml:space="preserve"> </w:t>
      </w:r>
      <w:r>
        <w:t xml:space="preserve">Electricity consumed during the manufacturing process in China.</w:t>
      </w:r>
    </w:p>
    <w:p>
      <w:pPr>
        <w:pStyle w:val="BodyText"/>
      </w:pPr>
      <w:r>
        <w:t xml:space="preserve">Calculation: (Energy Intensity * (1 - Renewable Energy Usage)) * Emission Factor for Chinese Grid Electricity.</w:t>
      </w:r>
    </w:p>
    <w:p>
      <w:pPr>
        <w:pStyle w:val="BodyText"/>
      </w:pPr>
      <w:r>
        <w:t xml:space="preserve">Illustrative Calculation: (</w:t>
      </w:r>
      <w:r>
        <w:rPr>
          <w:rStyle w:val="VerbatimChar"/>
        </w:rPr>
        <w:t xml:space="preserve">tdxivddfpr</w:t>
      </w:r>
      <w:r>
        <w:t xml:space="preserve"> </w:t>
      </w:r>
      <w:r>
        <w:t xml:space="preserve">(15 kWh/unit) * (1 -</w:t>
      </w:r>
      <w:r>
        <w:t xml:space="preserve"> </w:t>
      </w:r>
      <w:r>
        <w:rPr>
          <w:rStyle w:val="VerbatimChar"/>
        </w:rPr>
        <w:t xml:space="preserve">ptpuppsfyx</w:t>
      </w:r>
      <w:r>
        <w:t xml:space="preserve"> </w:t>
      </w:r>
      <w:r>
        <w:t xml:space="preserve">(0.60))) * 0.556 kg CO2e/kWh (Chinese Grid EF) = 15 * 0.4 * 0.556 = 3.336 kg CO2e/unit.</w:t>
      </w:r>
    </w:p>
    <w:p>
      <w:pPr>
        <w:pStyle w:val="BodyText"/>
      </w:pPr>
      <w:r>
        <w:t xml:space="preserve">Calculated Emissions (Illustrative): 3.34 kg CO2e/unit.</w:t>
      </w:r>
    </w:p>
    <w:bookmarkEnd w:id="32"/>
    <w:bookmarkStart w:id="35" w:name="scope-3-emissions-other-indirect"/>
    <w:p>
      <w:pPr>
        <w:pStyle w:val="Heading3"/>
      </w:pPr>
      <w:r>
        <w:t xml:space="preserve">4.3. Scope 3 Emissions (Other Indirect)</w:t>
      </w:r>
    </w:p>
    <w:p>
      <w:pPr>
        <w:pStyle w:val="FirstParagraph"/>
      </w:pPr>
      <w:r>
        <w:t xml:space="preserve">These are all other indirect emissions that occur in the value chain of zopxozhljs, both upstream and downstream. As per 2026 requirements, at least 95% coverage for Scope 3 reporting is targeted for this analysis.</w:t>
      </w:r>
    </w:p>
    <w:bookmarkStart w:id="33" w:name="X206b6739b40f28517238aa595212b3e75404710"/>
    <w:p>
      <w:pPr>
        <w:pStyle w:val="Heading4"/>
      </w:pPr>
      <w:r>
        <w:t xml:space="preserve">4.3.1. Upstream Emissions (Illustrative Calculations)</w:t>
      </w:r>
    </w:p>
    <w:p>
      <w:pPr>
        <w:numPr>
          <w:ilvl w:val="0"/>
          <w:numId w:val="1008"/>
        </w:numPr>
      </w:pPr>
      <w:r>
        <w:rPr>
          <w:bCs/>
          <w:b/>
        </w:rPr>
        <w:t xml:space="preserve">Material Acquisition &amp; Pre-processing:</w:t>
      </w:r>
      <w:r>
        <w:t xml:space="preserve"> </w:t>
      </w:r>
      <w:r>
        <w:t xml:space="preserve">Sum of "Total Carbon" from BOM items.</w:t>
      </w:r>
    </w:p>
    <w:p>
      <w:pPr>
        <w:numPr>
          <w:ilvl w:val="0"/>
          <w:numId w:val="1000"/>
        </w:numPr>
      </w:pPr>
      <w:r>
        <w:t xml:space="preserve">Illustrative Sum from BOM table: 0.75 + 0.25 + 0.15 + 0.12 = 1.27 kg CO2e/unit.</w:t>
      </w:r>
    </w:p>
    <w:p>
      <w:pPr>
        <w:numPr>
          <w:ilvl w:val="0"/>
          <w:numId w:val="1008"/>
        </w:numPr>
      </w:pPr>
      <w:r>
        <w:rPr>
          <w:bCs/>
          <w:b/>
        </w:rPr>
        <w:t xml:space="preserve">Upstream Transportation:</w:t>
      </w:r>
      <w:r>
        <w:t xml:space="preserve"> </w:t>
      </w:r>
      <w:r>
        <w:t xml:space="preserve">Transport of raw materials to the factory. This would typically be calculated based on specific supplier locations, transport modes, and distances.</w:t>
      </w:r>
    </w:p>
    <w:p>
      <w:pPr>
        <w:numPr>
          <w:ilvl w:val="0"/>
          <w:numId w:val="1000"/>
        </w:numPr>
      </w:pPr>
      <w:r>
        <w:t xml:space="preserve">Illustrative: Assuming an average transport distance and mode for 0.5 kg of materials, 0.5 kg CO2e/unit.</w:t>
      </w:r>
    </w:p>
    <w:p>
      <w:pPr>
        <w:numPr>
          <w:ilvl w:val="0"/>
          <w:numId w:val="1008"/>
        </w:numPr>
      </w:pPr>
      <w:r>
        <w:rPr>
          <w:bCs/>
          <w:b/>
        </w:rPr>
        <w:t xml:space="preserve">Other Upstream (e.g., Waste generated in operations, Capital goods):</w:t>
      </w:r>
      <w:r>
        <w:t xml:space="preserve"> </w:t>
      </w:r>
      <w:r>
        <w:t xml:space="preserve">These are considered and quantified where relevant data is available, ensuring 95% Scope 3 coverage.</w:t>
      </w:r>
    </w:p>
    <w:p>
      <w:pPr>
        <w:numPr>
          <w:ilvl w:val="0"/>
          <w:numId w:val="1000"/>
        </w:numPr>
      </w:pPr>
      <w:r>
        <w:t xml:space="preserve">Illustrative: 0.1 kg CO2e/unit.</w:t>
      </w:r>
    </w:p>
    <w:p>
      <w:pPr>
        <w:pStyle w:val="FirstParagraph"/>
      </w:pPr>
      <w:r>
        <w:t xml:space="preserve">Total Upstream Scope 3 Emissions (Illustrative): 1.27 + 0.5 + 0.1 = 1.87 kg CO2e/unit.</w:t>
      </w:r>
    </w:p>
    <w:bookmarkEnd w:id="33"/>
    <w:bookmarkStart w:id="34" w:name="X6743addc8ef600561d9979c115c01485749ea6f"/>
    <w:p>
      <w:pPr>
        <w:pStyle w:val="Heading4"/>
      </w:pPr>
      <w:r>
        <w:t xml:space="preserve">4.3.2. Downstream Emissions (Illustrative Calculations)</w:t>
      </w:r>
    </w:p>
    <w:p>
      <w:pPr>
        <w:numPr>
          <w:ilvl w:val="0"/>
          <w:numId w:val="1009"/>
        </w:numPr>
      </w:pPr>
      <w:r>
        <w:rPr>
          <w:bCs/>
          <w:b/>
        </w:rPr>
        <w:t xml:space="preserve">Transportation &amp; Distribution:</w:t>
      </w:r>
      <w:r>
        <w:t xml:space="preserve"> </w:t>
      </w:r>
      <w:r>
        <w:t xml:space="preserve">Transport of finished product from China to market (Europe) and last-mile delivery.</w:t>
      </w:r>
    </w:p>
    <w:p>
      <w:pPr>
        <w:numPr>
          <w:ilvl w:val="0"/>
          <w:numId w:val="1000"/>
        </w:numPr>
      </w:pPr>
      <w:r>
        <w:t xml:space="preserve">Illustrative Product Weight: 0.5 kg (0.0005 tonnes).</w:t>
      </w:r>
    </w:p>
    <w:p>
      <w:pPr>
        <w:numPr>
          <w:ilvl w:val="0"/>
          <w:numId w:val="1000"/>
        </w:numPr>
      </w:pPr>
      <w:r>
        <w:t xml:space="preserve">Ocean Freight (China to Europe):</w:t>
      </w:r>
      <w:r>
        <w:t xml:space="preserve"> </w:t>
      </w:r>
      <w:r>
        <w:rPr>
          <w:rStyle w:val="VerbatimChar"/>
        </w:rPr>
        <w:t xml:space="preserve">jqrthixhho</w:t>
      </w:r>
      <w:r>
        <w:t xml:space="preserve"> </w:t>
      </w:r>
      <w:r>
        <w:t xml:space="preserve">(10,000 km) * 0.0005 tonnes * 0.016 kg CO2e/tkm (Ocean EF) = 10,000 * 0.0005 * 0.016 = 0.08 kg CO2e/unit.</w:t>
      </w:r>
    </w:p>
    <w:p>
      <w:pPr>
        <w:numPr>
          <w:ilvl w:val="0"/>
          <w:numId w:val="1000"/>
        </w:numPr>
      </w:pPr>
      <w:r>
        <w:t xml:space="preserve">Road Freight (Intra-European):</w:t>
      </w:r>
      <w:r>
        <w:t xml:space="preserve"> </w:t>
      </w:r>
      <w:r>
        <w:rPr>
          <w:rStyle w:val="VerbatimChar"/>
        </w:rPr>
        <w:t xml:space="preserve">jqrthixhho</w:t>
      </w:r>
      <w:r>
        <w:t xml:space="preserve"> </w:t>
      </w:r>
      <w:r>
        <w:t xml:space="preserve">(500 km) * 0.0005 tonnes * 0.1 kg CO2e/tkm (Road EF) = 500 * 0.0005 * 0.1 = 0.025 kg CO2e/unit.</w:t>
      </w:r>
    </w:p>
    <w:p>
      <w:pPr>
        <w:numPr>
          <w:ilvl w:val="0"/>
          <w:numId w:val="1000"/>
        </w:numPr>
      </w:pPr>
      <w:r>
        <w:t xml:space="preserve">Last-Mile Delivery (`Delivery Type` - Standard Parcel Delivery): Assumed negligible additional impact beyond road freight already calculated, or absorbed within the average road freight factor.</w:t>
      </w:r>
    </w:p>
    <w:p>
      <w:pPr>
        <w:numPr>
          <w:ilvl w:val="0"/>
          <w:numId w:val="1000"/>
        </w:numPr>
      </w:pPr>
      <w:r>
        <w:t xml:space="preserve">Illustrative: 0.08 + 0.025 = 0.105 kg CO2e/unit.</w:t>
      </w:r>
    </w:p>
    <w:p>
      <w:pPr>
        <w:numPr>
          <w:ilvl w:val="0"/>
          <w:numId w:val="1009"/>
        </w:numPr>
      </w:pPr>
      <w:r>
        <w:rPr>
          <w:bCs/>
          <w:b/>
        </w:rPr>
        <w:t xml:space="preserve">Use Phase Emissions:</w:t>
      </w:r>
      <w:r>
        <w:t xml:space="preserve"> </w:t>
      </w:r>
      <w:r>
        <w:t xml:space="preserve">Energy consumption during the product\'s lifespan.</w:t>
      </w:r>
    </w:p>
    <w:p>
      <w:pPr>
        <w:numPr>
          <w:ilvl w:val="0"/>
          <w:numId w:val="1000"/>
        </w:numPr>
      </w:pPr>
      <w:r>
        <w:t xml:space="preserve">Calculation: (`wivtqypskg` (5 years) * `jpgjfejpel` (5 kWh/year)) * 0.238 kg CO2e/kWh (European Grid EF) = 25 kWh * 0.238 = 5.95 kg CO2e/unit.</w:t>
      </w:r>
    </w:p>
    <w:p>
      <w:pPr>
        <w:numPr>
          <w:ilvl w:val="0"/>
          <w:numId w:val="1000"/>
        </w:numPr>
      </w:pPr>
      <w:r>
        <w:t xml:space="preserve">Illustrative: 5.95 kg CO2e/unit.</w:t>
      </w:r>
    </w:p>
    <w:p>
      <w:pPr>
        <w:numPr>
          <w:ilvl w:val="0"/>
          <w:numId w:val="1009"/>
        </w:numPr>
      </w:pPr>
      <w:r>
        <w:rPr>
          <w:bCs/>
          <w:b/>
        </w:rPr>
        <w:t xml:space="preserve">End-of-Life Treatment:</w:t>
      </w:r>
      <w:r>
        <w:t xml:space="preserve"> </w:t>
      </w:r>
      <w:r>
        <w:t xml:space="preserve">Emissions/avoided emissions from recycling, disposal, and circular programs.</w:t>
      </w:r>
    </w:p>
    <w:p>
      <w:pPr>
        <w:numPr>
          <w:ilvl w:val="0"/>
          <w:numId w:val="1000"/>
        </w:numPr>
      </w:pPr>
      <w:r>
        <w:t xml:space="preserve">Calculation: Assuming a net impact for disposal of non-recycled portion and credits for recycled portion.</w:t>
      </w:r>
    </w:p>
    <w:p>
      <w:pPr>
        <w:numPr>
          <w:ilvl w:val="0"/>
          <w:numId w:val="1000"/>
        </w:numPr>
      </w:pPr>
      <w:r>
        <w:t xml:space="preserve">Non-recycled portion (20%): 0.20 * 0.5 kg (product weight) * 1.0 kg CO2e/kg (illustrative landfill EF) = 0.1 kg CO2e.</w:t>
      </w:r>
    </w:p>
    <w:p>
      <w:pPr>
        <w:numPr>
          <w:ilvl w:val="0"/>
          <w:numId w:val="1000"/>
        </w:numPr>
      </w:pPr>
      <w:r>
        <w:t xml:space="preserve">Recycled portion (80%): 0.80 * 0.5 kg (product weight) * -0.5 kg CO2e/kg (illustrative recycling credit) = -0.2 kg CO2e.</w:t>
      </w:r>
    </w:p>
    <w:p>
      <w:pPr>
        <w:numPr>
          <w:ilvl w:val="0"/>
          <w:numId w:val="1000"/>
        </w:numPr>
      </w:pPr>
      <w:r>
        <w:t xml:space="preserve">Illustrative: 0.1 - 0.2 = -0.1 kg CO2e/unit (net credit due to high recyclability `igwglsdsvp` and circular programs `ervkgnqgfd`).</w:t>
      </w:r>
    </w:p>
    <w:p>
      <w:pPr>
        <w:pStyle w:val="FirstParagraph"/>
      </w:pPr>
      <w:r>
        <w:t xml:space="preserve">Total Downstream Scope 3 Emissions (Illustrative): 0.105 + 5.95 - 0.1 = 5.955 kg CO2e/unit.</w:t>
      </w:r>
    </w:p>
    <w:bookmarkEnd w:id="34"/>
    <w:bookmarkEnd w:id="35"/>
    <w:bookmarkStart w:id="36" w:name="X9b435f9006cf04294f943c0bc3e88ac8be6bd1a"/>
    <w:p>
      <w:pPr>
        <w:pStyle w:val="Heading3"/>
      </w:pPr>
      <w:r>
        <w:t xml:space="preserve">Total Product Carbon Footprint (Illustrative)</w:t>
      </w:r>
    </w:p>
    <w:p>
      <w:pPr>
        <w:pStyle w:val="FirstParagraph"/>
      </w:pPr>
      <w:r>
        <w:rPr>
          <w:bCs/>
          <w:b/>
        </w:rPr>
        <w:t xml:space="preserve">Total PCF = Scope 1 + Scope 2 + Total Scope 3</w:t>
      </w:r>
    </w:p>
    <w:p>
      <w:pPr>
        <w:pStyle w:val="BodyText"/>
      </w:pPr>
      <w:r>
        <w:t xml:space="preserve">Total PCF = 0.05 kg CO2e + 3.34 kg CO2e + (1.87 kg CO2e + 5.955 kg CO2e)</w:t>
      </w:r>
    </w:p>
    <w:p>
      <w:pPr>
        <w:pStyle w:val="BodyText"/>
      </w:pPr>
      <w:r>
        <w:t xml:space="preserve">Total PCF = 0.05 + 3.34 + 7.825 = 11.215 kg CO2e</w:t>
      </w:r>
    </w:p>
    <w:p>
      <w:pPr>
        <w:pStyle w:val="BodyText"/>
      </w:pPr>
      <w:r>
        <w:rPr>
          <w:bCs/>
          <w:b/>
        </w:rPr>
        <w:t xml:space="preserve">Total PCF (Illustrative): 11.22 kg CO2e per 1.0 unit of nuyzrnijdl</w:t>
      </w:r>
    </w:p>
    <w:p>
      <w:pPr>
        <w:pStyle w:val="BodyText"/>
      </w:pPr>
      <w:r>
        <w:rPr>
          <w:bCs/>
          <w:b/>
        </w:rPr>
        <w:t xml:space="preserve">Application of 2026 LSR Standard:</w:t>
      </w:r>
      <w:r>
        <w:t xml:space="preserve"> </w:t>
      </w:r>
      <w:r>
        <w:t xml:space="preserve">While specific data for land use change and carbon removals are not provided, the LSR Standard is acknowledged and applied conceptually. This involves accounting for GHG emissions and removals associated with direct land use change, biogenic carbon fluxes, and the impact of bio-based materials. If nuyzrnijdl contained significant bio-based components or involved land use changes in its supply chain, these would be quantified and reported separately under the LSR framework to provide a more complete picture of its climate impact, including potential carbon removals. The current illustrative calculation primarily focuses on fossil CO2e.</w:t>
      </w:r>
    </w:p>
    <w:bookmarkEnd w:id="36"/>
    <w:bookmarkEnd w:id="37"/>
    <w:p>
      <w:r>
        <w:pict>
          <v:rect style="width:0;height:1.5pt" o:hralign="center" o:hrstd="t" o:hr="t"/>
        </w:pict>
      </w:r>
    </w:p>
    <w:bookmarkStart w:id="38" w:name="review-report---hotspots-and-reliability"/>
    <w:p>
      <w:pPr>
        <w:pStyle w:val="Heading2"/>
      </w:pPr>
      <w:r>
        <w:t xml:space="preserve">5. Review &amp; Report - Hotspots and Reliability</w:t>
      </w:r>
    </w:p>
    <w:p>
      <w:pPr>
        <w:pStyle w:val="FirstParagraph"/>
      </w:pPr>
      <w:r>
        <w:t xml:space="preserve">Based on the illustrative calculations, the primary emission hotspots for nuyzrnijdl are:</w:t>
      </w:r>
    </w:p>
    <w:p>
      <w:pPr>
        <w:numPr>
          <w:ilvl w:val="0"/>
          <w:numId w:val="1010"/>
        </w:numPr>
        <w:pStyle w:val="Compact"/>
      </w:pPr>
      <w:r>
        <w:rPr>
          <w:bCs/>
          <w:b/>
        </w:rPr>
        <w:t xml:space="preserve">Use Phase (Scope 3 - Downstream):</w:t>
      </w:r>
      <w:r>
        <w:t xml:space="preserve"> </w:t>
      </w:r>
      <w:r>
        <w:t xml:space="preserve">Contributing the largest share (approx. 53%) due to ongoing energy consumption over its</w:t>
      </w:r>
      <w:r>
        <w:t xml:space="preserve"> </w:t>
      </w:r>
      <w:r>
        <w:rPr>
          <w:rStyle w:val="VerbatimChar"/>
        </w:rPr>
        <w:t xml:space="preserve">wivtqypskg</w:t>
      </w:r>
      <w:r>
        <w:t xml:space="preserve"> </w:t>
      </w:r>
      <w:r>
        <w:t xml:space="preserve">(5-year) lifespan. This highlights the importance of energy efficiency during product design and consumer education on efficient use.</w:t>
      </w:r>
    </w:p>
    <w:p>
      <w:pPr>
        <w:numPr>
          <w:ilvl w:val="0"/>
          <w:numId w:val="1010"/>
        </w:numPr>
        <w:pStyle w:val="Compact"/>
      </w:pPr>
      <w:r>
        <w:rPr>
          <w:bCs/>
          <w:b/>
        </w:rPr>
        <w:t xml:space="preserve">Manufacturing (Scope 2):</w:t>
      </w:r>
      <w:r>
        <w:t xml:space="preserve"> </w:t>
      </w:r>
      <w:r>
        <w:t xml:space="preserve">Significant contribution (approx. 30%) despite</w:t>
      </w:r>
      <w:r>
        <w:t xml:space="preserve"> </w:t>
      </w:r>
      <w:r>
        <w:rPr>
          <w:rStyle w:val="VerbatimChar"/>
        </w:rPr>
        <w:t xml:space="preserve">ptpuppsfyx</w:t>
      </w:r>
      <w:r>
        <w:t xml:space="preserve"> </w:t>
      </w:r>
      <w:r>
        <w:t xml:space="preserve">(60%) renewable energy usage, indicating that the remaining grid electricity mix still has a notable impact. Further decarbonization of the energy supply in China or increased on-site renewables would be beneficial.</w:t>
      </w:r>
    </w:p>
    <w:p>
      <w:pPr>
        <w:numPr>
          <w:ilvl w:val="0"/>
          <w:numId w:val="1010"/>
        </w:numPr>
        <w:pStyle w:val="Compact"/>
      </w:pPr>
      <w:r>
        <w:rPr>
          <w:bCs/>
          <w:b/>
        </w:rPr>
        <w:t xml:space="preserve">Material Acquisition &amp; Pre-processing (Scope 3 - Upstream):</w:t>
      </w:r>
      <w:r>
        <w:t xml:space="preserve"> </w:t>
      </w:r>
      <w:r>
        <w:t xml:space="preserve">A substantial portion (approx. 17%) comes from the production of raw materials. Optimizing material selection, reducing material intensity, and sourcing lower-carbon materials are key strategies.</w:t>
      </w:r>
    </w:p>
    <w:p>
      <w:pPr>
        <w:pStyle w:val="FirstParagraph"/>
      </w:pPr>
      <w:r>
        <w:t xml:space="preserve">The reliability of this report\'s findings is contingent upon the accuracy and completeness of the underlying data. For this analysis, where specific numerical data for placeholder parameters were not provided, illustrative values based on industry averages and expert judgment were used to demonstrate the calculation methodology. For a verified PCF, primary data from zopxozhljs and its supply chain partners would be essential.</w:t>
      </w:r>
    </w:p>
    <w:p>
      <w:pPr>
        <w:pStyle w:val="BodyText"/>
      </w:pPr>
      <w:r>
        <w:rPr>
          <w:bCs/>
          <w:b/>
        </w:rPr>
        <w:t xml:space="preserve">Recommendations for zopxozhljs:</w:t>
      </w:r>
    </w:p>
    <w:p>
      <w:pPr>
        <w:numPr>
          <w:ilvl w:val="0"/>
          <w:numId w:val="1011"/>
        </w:numPr>
        <w:pStyle w:val="Compact"/>
      </w:pPr>
      <w:r>
        <w:rPr>
          <w:bCs/>
          <w:b/>
        </w:rPr>
        <w:t xml:space="preserve">Enhance Product Energy Efficiency:</w:t>
      </w:r>
      <w:r>
        <w:t xml:space="preserve"> </w:t>
      </w:r>
      <w:r>
        <w:t xml:space="preserve">Focus R&amp;D on minimizing</w:t>
      </w:r>
      <w:r>
        <w:t xml:space="preserve"> </w:t>
      </w:r>
      <w:r>
        <w:rPr>
          <w:rStyle w:val="VerbatimChar"/>
        </w:rPr>
        <w:t xml:space="preserve">jpgjfejpel</w:t>
      </w:r>
      <w:r>
        <w:t xml:space="preserve"> </w:t>
      </w:r>
      <w:r>
        <w:t xml:space="preserve">(Energy Consumption in Use) to drastically reduce Use Phase emissions.</w:t>
      </w:r>
    </w:p>
    <w:p>
      <w:pPr>
        <w:numPr>
          <w:ilvl w:val="0"/>
          <w:numId w:val="1011"/>
        </w:numPr>
        <w:pStyle w:val="Compact"/>
      </w:pPr>
      <w:r>
        <w:rPr>
          <w:bCs/>
          <w:b/>
        </w:rPr>
        <w:t xml:space="preserve">Deepen Renewable Energy Integration:</w:t>
      </w:r>
      <w:r>
        <w:t xml:space="preserve"> </w:t>
      </w:r>
      <w:r>
        <w:t xml:space="preserve">Explore options to further increase</w:t>
      </w:r>
      <w:r>
        <w:t xml:space="preserve"> </w:t>
      </w:r>
      <w:r>
        <w:rPr>
          <w:rStyle w:val="VerbatimChar"/>
        </w:rPr>
        <w:t xml:space="preserve">ptpuppsfyx</w:t>
      </w:r>
      <w:r>
        <w:t xml:space="preserve"> </w:t>
      </w:r>
      <w:r>
        <w:t xml:space="preserve">(Renewable Energy Usage) at the Chinese manufacturing facility, potentially through direct Power Purchase Agreements (PPAs) for renewable energy.</w:t>
      </w:r>
    </w:p>
    <w:p>
      <w:pPr>
        <w:numPr>
          <w:ilvl w:val="0"/>
          <w:numId w:val="1011"/>
        </w:numPr>
        <w:pStyle w:val="Compact"/>
      </w:pPr>
      <w:r>
        <w:rPr>
          <w:bCs/>
          <w:b/>
        </w:rPr>
        <w:t xml:space="preserve">Sustainable Sourcing:</w:t>
      </w:r>
      <w:r>
        <w:t xml:space="preserve"> </w:t>
      </w:r>
      <w:r>
        <w:t xml:space="preserve">Collaborate with suppliers to identify and source lower-carbon materials, or investigate opportunities for increasing recycled content in components derived from the</w:t>
      </w:r>
      <w:r>
        <w:t xml:space="preserve"> </w:t>
      </w:r>
      <w:r>
        <w:rPr>
          <w:rStyle w:val="VerbatimChar"/>
        </w:rPr>
        <w:t xml:space="preserve">lykvpkwm</w:t>
      </w:r>
      <w:r>
        <w:t xml:space="preserve"> </w:t>
      </w:r>
      <w:r>
        <w:t xml:space="preserve">BOM.</w:t>
      </w:r>
    </w:p>
    <w:p>
      <w:pPr>
        <w:numPr>
          <w:ilvl w:val="0"/>
          <w:numId w:val="1011"/>
        </w:numPr>
        <w:pStyle w:val="Compact"/>
      </w:pPr>
      <w:r>
        <w:rPr>
          <w:bCs/>
          <w:b/>
        </w:rPr>
        <w:t xml:space="preserve">Optimize Logistics:</w:t>
      </w:r>
      <w:r>
        <w:t xml:space="preserve"> </w:t>
      </w:r>
      <w:r>
        <w:t xml:space="preserve">Evaluate the efficiency of</w:t>
      </w:r>
      <w:r>
        <w:t xml:space="preserve"> </w:t>
      </w:r>
      <w:r>
        <w:rPr>
          <w:rStyle w:val="VerbatimChar"/>
        </w:rPr>
        <w:t xml:space="preserve">Select Mode</w:t>
      </w:r>
      <w:r>
        <w:t xml:space="preserve"> </w:t>
      </w:r>
      <w:r>
        <w:t xml:space="preserve">transportation and</w:t>
      </w:r>
      <w:r>
        <w:t xml:space="preserve"> </w:t>
      </w:r>
      <w:r>
        <w:rPr>
          <w:rStyle w:val="VerbatimChar"/>
        </w:rPr>
        <w:t xml:space="preserve">Delivery Type</w:t>
      </w:r>
      <w:r>
        <w:t xml:space="preserve"> </w:t>
      </w:r>
      <w:r>
        <w:t xml:space="preserve">for last-mile delivery, considering modal shifts to lower-emission options or optimizing routes to reduce</w:t>
      </w:r>
      <w:r>
        <w:t xml:space="preserve"> </w:t>
      </w:r>
      <w:r>
        <w:rPr>
          <w:rStyle w:val="VerbatimChar"/>
        </w:rPr>
        <w:t xml:space="preserve">jqrthixhho</w:t>
      </w:r>
      <w:r>
        <w:t xml:space="preserve"> </w:t>
      </w:r>
      <w:r>
        <w:t xml:space="preserve">(Transport Distance).</w:t>
      </w:r>
    </w:p>
    <w:p>
      <w:pPr>
        <w:numPr>
          <w:ilvl w:val="0"/>
          <w:numId w:val="1011"/>
        </w:numPr>
        <w:pStyle w:val="Compact"/>
      </w:pPr>
      <w:r>
        <w:rPr>
          <w:bCs/>
          <w:b/>
        </w:rPr>
        <w:t xml:space="preserve">Strengthen Circular Economy Initiatives:</w:t>
      </w:r>
      <w:r>
        <w:t xml:space="preserve"> </w:t>
      </w:r>
      <w:r>
        <w:t xml:space="preserve">Continue to promote and expand</w:t>
      </w:r>
      <w:r>
        <w:t xml:space="preserve"> </w:t>
      </w:r>
      <w:r>
        <w:rPr>
          <w:rStyle w:val="VerbatimChar"/>
        </w:rPr>
        <w:t xml:space="preserve">ervkgnqgfd</w:t>
      </w:r>
      <w:r>
        <w:t xml:space="preserve"> </w:t>
      </w:r>
      <w:r>
        <w:t xml:space="preserve">(Company-run take-back program) and aim to increase</w:t>
      </w:r>
      <w:r>
        <w:t xml:space="preserve"> </w:t>
      </w:r>
      <w:r>
        <w:rPr>
          <w:rStyle w:val="VerbatimChar"/>
        </w:rPr>
        <w:t xml:space="preserve">igwglsdsvp</w:t>
      </w:r>
      <w:r>
        <w:t xml:space="preserve"> </w:t>
      </w:r>
      <w:r>
        <w:t xml:space="preserve">(80%) (Recyclability Percentage) even further to maximize material recovery and minimize end-of-life impacts.</w:t>
      </w:r>
    </w:p>
    <w:p>
      <w:pPr>
        <w:pStyle w:val="FirstParagraph"/>
      </w:pPr>
      <w:r>
        <w:t xml:space="preserve">This report serves as a foundational analysis. Continuous data collection, engagement with suppliers, and monitoring of lifecycle impacts will be crucial for zopxozhljs to effectively manage and reduce the carbon footprint of nuyzrnijdl and its entire product portfolio.</w:t>
      </w:r>
    </w:p>
    <w:bookmarkEnd w:id="38"/>
    <w:p>
      <w:r>
        <w:pict>
          <v:rect style="width:0;height:1.5pt" o:hralign="center" o:hrstd="t" o:hr="t"/>
        </w:pict>
      </w:r>
    </w:p>
    <w:p>
      <w:pPr>
        <w:pStyle w:val="FirstParagraph"/>
      </w:pPr>
      <w:r>
        <w:t xml:space="preserve">Confidential - Internal Use Only | Page X of 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nuyzrnijdl</dc:title>
  <dc:creator/>
  <dc:description>Detailed Product Carbon Footprint (PCF) analysis report for nuyzrnijdl by zopxozhljs, following GHG Protocol and 2026 LSR Update, prepared by Senior Sustainability Consultant tgtokpksrp.</dc:description>
  <cp:keywords/>
  <dcterms:created xsi:type="dcterms:W3CDTF">2026-05-30T10:36:00Z</dcterms:created>
  <dcterms:modified xsi:type="dcterms:W3CDTF">2026-05-30T10:36:00Z</dcterms:modified>
</cp:coreProperties>
</file>

<file path=docProps/custom.xml><?xml version="1.0" encoding="utf-8"?>
<Properties xmlns="http://schemas.openxmlformats.org/officeDocument/2006/custom-properties" xmlns:vt="http://schemas.openxmlformats.org/officeDocument/2006/docPropsVTypes"/>
</file>