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nuxpuzsfvo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nuxpuzsfvo</w:t>
      </w:r>
    </w:p>
    <w:p>
      <w:pPr>
        <w:pStyle w:val="BodyText"/>
      </w:pPr>
      <w:r>
        <w:t xml:space="preserve">Company: eukmtwqhlt</w:t>
      </w:r>
    </w:p>
    <w:p>
      <w:pPr>
        <w:pStyle w:val="BodyText"/>
      </w:pPr>
      <w:r>
        <w:t xml:space="preserve">Senior Sustainability Consultant: oitimmsljw</w:t>
      </w:r>
    </w:p>
    <w:p>
      <w:pPr>
        <w:pStyle w:val="BodyText"/>
      </w:pPr>
      <w:r>
        <w:t xml:space="preserve">Protocol Data (Accounting Standard): GHG Protocol</w:t>
      </w:r>
    </w:p>
    <w:p>
      <w:pPr>
        <w:pStyle w:val="BodyText"/>
      </w:pPr>
      <w:r>
        <w:t xml:space="preserve">Disclaimer: This report is generated based on available data and industry standards, including specific parameters provided.</w:t>
      </w:r>
      <w:r>
        <w:t xml:space="preserve"> </w:t>
      </w:r>
      <w:r>
        <w:t xml:space="preserve">All emission factors and calculations are based on the best available current data and assumptions made for illustrative purposes where specific primary data was not available for the placeholders.</w:t>
      </w:r>
    </w:p>
    <w:bookmarkEnd w:id="20"/>
    <w:bookmarkStart w:id="21" w:name="Xaa49b33d410c8a9d236f03fc056054550c1a5b7"/>
    <w:p>
      <w:pPr>
        <w:pStyle w:val="Heading1"/>
      </w:pPr>
      <w:r>
        <w:t xml:space="preserve">Product Carbon Footprint (PCF) Analysis Report for nuxpuzsfvo</w:t>
      </w:r>
    </w:p>
    <w:p>
      <w:pPr>
        <w:pStyle w:val="FirstParagraph"/>
      </w:pPr>
      <w:r>
        <w:rPr>
          <w:bCs/>
          <w:b/>
        </w:rPr>
        <w:t xml:space="preserve">Generated Date:</w:t>
      </w:r>
      <w:r>
        <w:t xml:space="preserve"> </w:t>
      </w:r>
      <w:r>
        <w:t xml:space="preserve">May 31, 2026</w:t>
      </w:r>
    </w:p>
    <w:p>
      <w:pPr>
        <w:pStyle w:val="BodyText"/>
      </w:pPr>
      <w:r>
        <w:rPr>
          <w:bCs/>
          <w:b/>
        </w:rPr>
        <w:t xml:space="preserve">Senior Sustainability Consultant:</w:t>
      </w:r>
      <w:r>
        <w:t xml:space="preserve"> </w:t>
      </w:r>
      <w:r>
        <w:t xml:space="preserve">oitimmsljw</w:t>
      </w:r>
    </w:p>
    <w:p>
      <w:pPr>
        <w:pStyle w:val="BodyText"/>
      </w:pPr>
      <w:r>
        <w:rPr>
          <w:bCs/>
          <w:b/>
        </w:rPr>
        <w:t xml:space="preserve">Company:</w:t>
      </w:r>
      <w:r>
        <w:t xml:space="preserve"> </w:t>
      </w:r>
      <w:r>
        <w:t xml:space="preserve">eukmtwqhlt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high-detail Product Carbon Footprint (PCF) analysis, conducted for nuxpuzsfvo by oitimmsljw of eukmtwqhlt,</w:t>
      </w:r>
      <w:r>
        <w:t xml:space="preserve"> </w:t>
      </w:r>
      <w:r>
        <w:t xml:space="preserve">aims to quantify the greenhouse gas (GHG) emissions associated with the product across its lifecycle.</w:t>
      </w:r>
      <w:r>
        <w:t xml:space="preserve"> </w:t>
      </w:r>
      <w:r>
        <w:t xml:space="preserve">Adhering strictly to the GHG Protocol and incorporating updates from the 2026 Land Sector and Removals (LSR) Standard,</w:t>
      </w:r>
      <w:r>
        <w:t xml:space="preserve"> </w:t>
      </w:r>
      <w:r>
        <w:t xml:space="preserve">this report provides a comprehensive breakdown of emissions, identifies hotspots, and ensures robust Scope 3 compliance.</w:t>
      </w:r>
      <w:r>
        <w:t xml:space="preserve"> </w:t>
      </w:r>
      <w:r>
        <w:t xml:space="preserve">The analysis covers material acquisition, manufacturing, transportation, use, and end-of-life phases,</w:t>
      </w:r>
      <w:r>
        <w:t xml:space="preserve"> </w:t>
      </w:r>
      <w:r>
        <w:t xml:space="preserve">leveraging specific Bill of Materials (BOM) data, energy consumption profiles, and circular economy initiatives</w:t>
      </w:r>
      <w:r>
        <w:t xml:space="preserve"> </w:t>
      </w:r>
      <w:r>
        <w:t xml:space="preserve">to provide a holistic view of the product\'s environmental impact.</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PCF analysis is built upon a clearly defined scope, ensuring consistency and comparability with GHG Protocol standards.</w:t>
      </w:r>
    </w:p>
    <w:p>
      <w:pPr>
        <w:numPr>
          <w:ilvl w:val="0"/>
          <w:numId w:val="1001"/>
        </w:numPr>
        <w:pStyle w:val="Compact"/>
      </w:pPr>
      <w:r>
        <w:rPr>
          <w:bCs/>
          <w:b/>
        </w:rPr>
        <w:t xml:space="preserve">Functional Unit:</w:t>
      </w:r>
      <w:r>
        <w:t xml:space="preserve"> </w:t>
      </w:r>
      <w:r>
        <w:t xml:space="preserve">1.0 unit of nuxpuzsfvo.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Cradle-to-gate with significant downstream considerations (Use Phase and End-of-Life). Specifically, a "factory_gate" system boundary is considered for initial production, extending to cover the product\'s entire lifespan including use and end-of-life scenarios.</w:t>
      </w:r>
    </w:p>
    <w:p>
      <w:pPr>
        <w:numPr>
          <w:ilvl w:val="0"/>
          <w:numId w:val="1001"/>
        </w:numPr>
        <w:pStyle w:val="Compact"/>
      </w:pPr>
      <w:r>
        <w:rPr>
          <w:bCs/>
          <w:b/>
        </w:rPr>
        <w:t xml:space="preserve">Geographic Scope:</w:t>
      </w:r>
      <w:r>
        <w:t xml:space="preserve"> </w:t>
      </w:r>
      <w:r>
        <w:t xml:space="preserve">Final Production Country: China, with a supply chain focus on Europe for upstream materials and downstream use/end-of-life.</w:t>
      </w:r>
    </w:p>
    <w:p>
      <w:pPr>
        <w:numPr>
          <w:ilvl w:val="0"/>
          <w:numId w:val="1001"/>
        </w:numPr>
        <w:pStyle w:val="Compact"/>
      </w:pPr>
      <w:r>
        <w:rPr>
          <w:bCs/>
          <w:b/>
        </w:rPr>
        <w:t xml:space="preserve">Accounting Standard:</w:t>
      </w:r>
      <w:r>
        <w:t xml:space="preserve"> </w:t>
      </w:r>
      <w:r>
        <w:t xml:space="preserve">GHG Protocol (Corporate Accounting and Reporting Standard, Corporate Value Chain (Scope 3) Accounting and Reporting Standard, and the 2026 Land Sector and Removals (LSR) Standard).</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each lifecycle stage. For multi-product processes, economic allocation or mass allocation is applied as appropriate, ensuring no double-counting.</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 nuxpuzsfvo is mapped into key stages, and data is collected from primary sources (provided parameters) and secondary (industry-standard emission factors from Ecoinvent/DEFRA equivalents).</w:t>
      </w:r>
    </w:p>
    <w:bookmarkStart w:id="24" w:name="X2e573ef57a5d212af687bc4d49d6d170160cd19"/>
    <w:p>
      <w:pPr>
        <w:pStyle w:val="Heading3"/>
      </w:pPr>
      <w:r>
        <w:t xml:space="preserve">2.1. Raw Materials Acquisition and Production (Upstream - Scope 3, Category 1)</w:t>
      </w:r>
    </w:p>
    <w:p>
      <w:pPr>
        <w:pStyle w:val="FirstParagraph"/>
      </w:pPr>
      <w:r>
        <w:t xml:space="preserve">The detailed Bill of Materials (BOM) for nuxpuzsfvo (mhxexhfd) provides the basis for calculating material-related emissions. The "Total Carbon" value from the BOM is directly used for the material impact calculation, representing emissions from raw material extraction through to the point of delivery to the manufacturing facility.</w:t>
      </w:r>
    </w:p>
    <w:p>
      <w:pPr>
        <w:pStyle w:val="BodyText"/>
      </w:pPr>
      <w:r>
        <w:rPr>
          <w:bCs/>
          <w:b/>
        </w:rPr>
        <w:t xml:space="preserve">Illustrative Detailed Bill of Materials (BOM) - mhxexhfd: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9.00</w:t>
            </w:r>
          </w:p>
        </w:tc>
      </w:tr>
      <w:tr>
        <w:tc>
          <w:tcPr/>
          <w:p>
            <w:pPr>
              <w:pStyle w:val="Compact"/>
              <w:jc w:val="left"/>
            </w:pPr>
            <w:r>
              <w:t xml:space="preserve">M102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0.94</w:t>
            </w:r>
          </w:p>
        </w:tc>
      </w:tr>
      <w:tr>
        <w:tc>
          <w:tcPr/>
          <w:p>
            <w:pPr>
              <w:pStyle w:val="Compact"/>
              <w:jc w:val="left"/>
            </w:pPr>
            <w:r>
              <w:t xml:space="preserve">M103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w:t>
            </w:r>
          </w:p>
        </w:tc>
      </w:tr>
      <w:tr>
        <w:tc>
          <w:tcPr/>
          <w:p>
            <w:pPr>
              <w:pStyle w:val="Compact"/>
              <w:jc w:val="left"/>
            </w:pPr>
            <w:r>
              <w:t xml:space="preserve">M104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17.5</w:t>
            </w:r>
          </w:p>
        </w:tc>
        <w:tc>
          <w:tcPr/>
          <w:p>
            <w:pPr>
              <w:pStyle w:val="Compact"/>
              <w:jc w:val="left"/>
            </w:pPr>
            <w:r>
              <w:t xml:space="preserve">17.50</w:t>
            </w:r>
          </w:p>
        </w:tc>
      </w:tr>
      <w:tr>
        <w:tc>
          <w:tcPr/>
          <w:p>
            <w:pPr>
              <w:pStyle w:val="Compact"/>
              <w:jc w:val="left"/>
            </w:pPr>
            <w:r>
              <w:t xml:space="preserve">M105</w:t>
            </w:r>
          </w:p>
        </w:tc>
        <w:tc>
          <w:tcPr/>
          <w:p>
            <w:pPr>
              <w:pStyle w:val="Compact"/>
              <w:jc w:val="left"/>
            </w:pPr>
            <w:r>
              <w:t xml:space="preserve">PCB (with active elements)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gridSpan w:val="7"/>
          </w:tcPr>
          <w:p>
            <w:pPr>
              <w:pStyle w:val="Compact"/>
              <w:jc w:val="right"/>
            </w:pPr>
            <w:r>
              <w:rPr>
                <w:bCs/>
                <w:b/>
              </w:rPr>
              <w:t xml:space="preserve">Total Material Carbon Impact:</w:t>
            </w:r>
          </w:p>
        </w:tc>
        <w:tc>
          <w:tcPr/>
          <w:p>
            <w:pPr>
              <w:pStyle w:val="Compact"/>
              <w:jc w:val="left"/>
            </w:pPr>
            <w:r>
              <w:rPr>
                <w:bCs/>
                <w:b/>
              </w:rPr>
              <w:t xml:space="preserve">35.35</w:t>
            </w:r>
          </w:p>
        </w:tc>
      </w:tr>
    </w:tbl>
    <w:p>
      <w:pPr>
        <w:pStyle w:val="BodyText"/>
      </w:pPr>
      <w:r>
        <w:rPr>
          <w:iCs/>
          <w:i/>
        </w:rPr>
        <w:t xml:space="preserve">Note: The "Emission Factor (kgCO2e/unit)" column is provided as context; calculations for this report utilize the "Total Carbon (kgCO2e)" as per the provided BOM format. The \'Lithium-ion Battery\' is assumed to be a small component with a nominal capacity (e.g., 0.1 kWh) for calculation of its Total Carbon.</w:t>
      </w:r>
    </w:p>
    <w:bookmarkEnd w:id="24"/>
    <w:bookmarkStart w:id="25" w:name="Xa59f47bc8143bcbfc5e9d63996c6e3a68b3fde3"/>
    <w:p>
      <w:pPr>
        <w:pStyle w:val="Heading3"/>
      </w:pPr>
      <w:r>
        <w:t xml:space="preserve">2.2. Manufacturing (Core Production - Scope 1 &amp; 2)</w:t>
      </w:r>
    </w:p>
    <w:p>
      <w:pPr>
        <w:pStyle w:val="FirstParagraph"/>
      </w:pPr>
      <w:r>
        <w:t xml:space="preserve">The production phase occurs in China. Emissions are primarily from purchased electricity, categorized under Scope 2. Direct (Scope 1) emissions are considered negligible for the \'factory_gate\' boundary in the absence of specific on-site fuel combustion data.</w:t>
      </w:r>
    </w:p>
    <w:p>
      <w:pPr>
        <w:numPr>
          <w:ilvl w:val="0"/>
          <w:numId w:val="1002"/>
        </w:numPr>
        <w:pStyle w:val="Compact"/>
      </w:pPr>
      <w:r>
        <w:rPr>
          <w:bCs/>
          <w:b/>
        </w:rPr>
        <w:t xml:space="preserve">Energy Intensity (kWh/unit):</w:t>
      </w:r>
      <w:r>
        <w:t xml:space="preserve"> </w:t>
      </w:r>
      <w:r>
        <w:t xml:space="preserve">pffrdsfnih (Assumed: 25 kWh/unit)</w:t>
      </w:r>
    </w:p>
    <w:p>
      <w:pPr>
        <w:numPr>
          <w:ilvl w:val="0"/>
          <w:numId w:val="1002"/>
        </w:numPr>
        <w:pStyle w:val="Compact"/>
      </w:pPr>
      <w:r>
        <w:rPr>
          <w:bCs/>
          <w:b/>
        </w:rPr>
        <w:t xml:space="preserve">Renewable Energy Usage:</w:t>
      </w:r>
      <w:r>
        <w:t xml:space="preserve"> </w:t>
      </w:r>
      <w:r>
        <w:t xml:space="preserve">qsyzmuuqmu (Assumed: 50%)</w:t>
      </w:r>
    </w:p>
    <w:p>
      <w:pPr>
        <w:numPr>
          <w:ilvl w:val="0"/>
          <w:numId w:val="1002"/>
        </w:numPr>
        <w:pStyle w:val="Compact"/>
      </w:pPr>
      <w:r>
        <w:rPr>
          <w:bCs/>
          <w:b/>
        </w:rPr>
        <w:t xml:space="preserve">China Grid Emission Factor:</w:t>
      </w:r>
      <w:r>
        <w:t xml:space="preserve"> </w:t>
      </w:r>
      <w:r>
        <w:t xml:space="preserve">0.6205 kgCO2e/kWh (2023 national average)</w:t>
      </w:r>
    </w:p>
    <w:bookmarkEnd w:id="25"/>
    <w:bookmarkStart w:id="26" w:name="X0eb5d8a571fed9383e68c0808ff58b19695bc9d"/>
    <w:p>
      <w:pPr>
        <w:pStyle w:val="Heading3"/>
      </w:pPr>
      <w:r>
        <w:t xml:space="preserve">2.3. Transportation &amp; Distribution (Upstream &amp; Downstream - Scope 3, Category 4 &amp; 9)</w:t>
      </w:r>
    </w:p>
    <w:p>
      <w:pPr>
        <w:pStyle w:val="FirstParagraph"/>
      </w:pPr>
      <w:r>
        <w:t xml:space="preserve">Transportation emissions cover the movement of materials from suppliers (Europe Focused) to the manufacturing site (China) and then to the end-user.</w:t>
      </w:r>
      <w:r>
        <w:t xml:space="preserve"> </w:t>
      </w:r>
      <w:r>
        <w:t xml:space="preserve">The total product weight for transport calculations is assumed to be 1.5 kg (an aggregation of BOM items plus minor components).</w:t>
      </w:r>
    </w:p>
    <w:p>
      <w:pPr>
        <w:numPr>
          <w:ilvl w:val="0"/>
          <w:numId w:val="1003"/>
        </w:numPr>
        <w:pStyle w:val="Compact"/>
      </w:pPr>
      <w:r>
        <w:rPr>
          <w:bCs/>
          <w:b/>
        </w:rPr>
        <w:t xml:space="preserve">Transport Mode (Upstream):</w:t>
      </w:r>
      <w:r>
        <w:t xml:space="preserve"> </w:t>
      </w:r>
      <w:r>
        <w:t xml:space="preserve">Select Mode (Assumed: Ocean Freight)</w:t>
      </w:r>
    </w:p>
    <w:p>
      <w:pPr>
        <w:numPr>
          <w:ilvl w:val="0"/>
          <w:numId w:val="1003"/>
        </w:numPr>
        <w:pStyle w:val="Compact"/>
      </w:pPr>
      <w:r>
        <w:rPr>
          <w:bCs/>
          <w:b/>
        </w:rPr>
        <w:t xml:space="preserve">Transport Distance (Upstream):</w:t>
      </w:r>
      <w:r>
        <w:t xml:space="preserve"> </w:t>
      </w:r>
      <w:r>
        <w:t xml:space="preserve">nxiqfxupli (Assumed: 5000 km)</w:t>
      </w:r>
    </w:p>
    <w:p>
      <w:pPr>
        <w:numPr>
          <w:ilvl w:val="0"/>
          <w:numId w:val="1003"/>
        </w:numPr>
        <w:pStyle w:val="Compact"/>
      </w:pPr>
      <w:r>
        <w:rPr>
          <w:bCs/>
          <w:b/>
        </w:rPr>
        <w:t xml:space="preserve">Ocean Freight Emission Factor:</w:t>
      </w:r>
      <w:r>
        <w:t xml:space="preserve"> </w:t>
      </w:r>
      <w:r>
        <w:t xml:space="preserve">0.016 kgCO2e/tkm</w:t>
      </w:r>
    </w:p>
    <w:p>
      <w:pPr>
        <w:numPr>
          <w:ilvl w:val="0"/>
          <w:numId w:val="1003"/>
        </w:numPr>
        <w:pStyle w:val="Compact"/>
      </w:pPr>
      <w:r>
        <w:rPr>
          <w:bCs/>
          <w:b/>
        </w:rPr>
        <w:t xml:space="preserve">Last-Mile Delivery Channel:</w:t>
      </w:r>
      <w:r>
        <w:t xml:space="preserve"> </w:t>
      </w:r>
      <w:r>
        <w:t xml:space="preserve">Delivery Type (Assumed: Road (Van))</w:t>
      </w:r>
    </w:p>
    <w:p>
      <w:pPr>
        <w:numPr>
          <w:ilvl w:val="0"/>
          <w:numId w:val="1003"/>
        </w:numPr>
        <w:pStyle w:val="Compact"/>
      </w:pPr>
      <w:r>
        <w:rPr>
          <w:bCs/>
          <w:b/>
        </w:rPr>
        <w:t xml:space="preserve">Last-Mile Delivery Distance:</w:t>
      </w:r>
      <w:r>
        <w:t xml:space="preserve"> </w:t>
      </w:r>
      <w:r>
        <w:t xml:space="preserve">Assumed 500 km (illustrative for Europe-focused supply chain after import to Europe)</w:t>
      </w:r>
    </w:p>
    <w:p>
      <w:pPr>
        <w:numPr>
          <w:ilvl w:val="0"/>
          <w:numId w:val="1003"/>
        </w:numPr>
        <w:pStyle w:val="Compact"/>
      </w:pPr>
      <w:r>
        <w:rPr>
          <w:bCs/>
          <w:b/>
        </w:rPr>
        <w:t xml:space="preserve">Road (Van) Emission Factor:</w:t>
      </w:r>
      <w:r>
        <w:t xml:space="preserve"> </w:t>
      </w:r>
      <w:r>
        <w:t xml:space="preserve">0.1 kgCO2e/tkm</w:t>
      </w:r>
    </w:p>
    <w:bookmarkEnd w:id="26"/>
    <w:bookmarkStart w:id="27" w:name="X01fffecb4d51cf9638741502492363d57dc681a"/>
    <w:p>
      <w:pPr>
        <w:pStyle w:val="Heading3"/>
      </w:pPr>
      <w:r>
        <w:t xml:space="preserve">2.4. Use Phase (Downstream - Scope 3, Category 11)</w:t>
      </w:r>
    </w:p>
    <w:p>
      <w:pPr>
        <w:pStyle w:val="FirstParagraph"/>
      </w:pPr>
      <w:r>
        <w:t xml:space="preserve">Emissions during the product\'s use phase are calculated based on its lifespan and energy consumption, assuming usage in a European context.</w:t>
      </w:r>
    </w:p>
    <w:p>
      <w:pPr>
        <w:numPr>
          <w:ilvl w:val="0"/>
          <w:numId w:val="1004"/>
        </w:numPr>
        <w:pStyle w:val="Compact"/>
      </w:pPr>
      <w:r>
        <w:rPr>
          <w:bCs/>
          <w:b/>
        </w:rPr>
        <w:t xml:space="preserve">Product Lifespan:</w:t>
      </w:r>
      <w:r>
        <w:t xml:space="preserve"> </w:t>
      </w:r>
      <w:r>
        <w:t xml:space="preserve">fnnonrxshj (Assumed: 5 years)</w:t>
      </w:r>
    </w:p>
    <w:p>
      <w:pPr>
        <w:numPr>
          <w:ilvl w:val="0"/>
          <w:numId w:val="1004"/>
        </w:numPr>
        <w:pStyle w:val="Compact"/>
      </w:pPr>
      <w:r>
        <w:rPr>
          <w:bCs/>
          <w:b/>
        </w:rPr>
        <w:t xml:space="preserve">Energy Consumption in Use:</w:t>
      </w:r>
      <w:r>
        <w:t xml:space="preserve"> </w:t>
      </w:r>
      <w:r>
        <w:t xml:space="preserve">iqgpvmvsjl (Assumed: 10 kWh/year)</w:t>
      </w:r>
    </w:p>
    <w:p>
      <w:pPr>
        <w:numPr>
          <w:ilvl w:val="0"/>
          <w:numId w:val="1004"/>
        </w:numPr>
        <w:pStyle w:val="Compact"/>
      </w:pPr>
      <w:r>
        <w:rPr>
          <w:bCs/>
          <w:b/>
        </w:rPr>
        <w:t xml:space="preserve">Europe Grid Emission Factor:</w:t>
      </w:r>
      <w:r>
        <w:t xml:space="preserve"> </w:t>
      </w:r>
      <w:r>
        <w:t xml:space="preserve">0.2883 kgCO2e/kWh (EU-27 average, 2021 data)</w:t>
      </w:r>
    </w:p>
    <w:bookmarkEnd w:id="27"/>
    <w:bookmarkStart w:id="28" w:name="X9c0ae82b25d76f37a2834bd60185fdb72258056"/>
    <w:p>
      <w:pPr>
        <w:pStyle w:val="Heading3"/>
      </w:pPr>
      <w:r>
        <w:t xml:space="preserve">2.5. End-of-Life (EoL) Treatment (Downstream - Scope 3, Category 12)</w:t>
      </w:r>
    </w:p>
    <w:p>
      <w:pPr>
        <w:pStyle w:val="FirstParagraph"/>
      </w:pPr>
      <w:r>
        <w:t xml:space="preserve">End-of-Life scenarios incorporate recyclability and circular economy programs, providing credits for avoided virgin material production.</w:t>
      </w:r>
    </w:p>
    <w:p>
      <w:pPr>
        <w:numPr>
          <w:ilvl w:val="0"/>
          <w:numId w:val="1005"/>
        </w:numPr>
        <w:pStyle w:val="Compact"/>
      </w:pPr>
      <w:r>
        <w:rPr>
          <w:bCs/>
          <w:b/>
        </w:rPr>
        <w:t xml:space="preserve">Recyclability Percentage:</w:t>
      </w:r>
      <w:r>
        <w:t xml:space="preserve"> </w:t>
      </w:r>
      <w:r>
        <w:t xml:space="preserve">zjwghpzums (Assumed: 70%)</w:t>
      </w:r>
    </w:p>
    <w:p>
      <w:pPr>
        <w:numPr>
          <w:ilvl w:val="0"/>
          <w:numId w:val="1005"/>
        </w:numPr>
        <w:pStyle w:val="Compact"/>
      </w:pPr>
      <w:r>
        <w:rPr>
          <w:bCs/>
          <w:b/>
        </w:rPr>
        <w:t xml:space="preserve">Circular/Take-back Programs:</w:t>
      </w:r>
      <w:r>
        <w:t xml:space="preserve"> </w:t>
      </w:r>
      <w:r>
        <w:t xml:space="preserve">hedhznroui (Assumed: Yes, eukmtwqhlt operates an internal product take-back program.)</w:t>
      </w:r>
    </w:p>
    <w:p>
      <w:pPr>
        <w:pStyle w:val="FirstParagraph"/>
      </w:pPr>
      <w:r>
        <w:t xml:space="preserve">Specific recycling credits are applied where data is available, otherwise estimated based on virgin material emission factors.</w:t>
      </w:r>
    </w:p>
    <w:p>
      <w:r>
        <w:pict>
          <v:rect style="width:0;height:1.5pt" o:hralign="center" o:hrstd="t" o:hr="t"/>
        </w:pict>
      </w:r>
    </w:p>
    <w:bookmarkEnd w:id="28"/>
    <w:bookmarkEnd w:id="29"/>
    <w:bookmarkStart w:id="38" w:name="Xdd1c2ba429305467bad58a0828410d9d0fce25c"/>
    <w:p>
      <w:pPr>
        <w:pStyle w:val="Heading2"/>
      </w:pPr>
      <w:r>
        <w:t xml:space="preserve">4. Emissions Calculation (Activity * Emission Factor = CO2e)</w:t>
      </w:r>
    </w:p>
    <w:p>
      <w:pPr>
        <w:pStyle w:val="FirstParagraph"/>
      </w:pPr>
      <w:r>
        <w:t xml:space="preserve">Emissions are calculated for each stage, categorized according to the GHG Protocol\'s Scope 1, 2, and 3. The 2026 LSR Standard is considered for potential land-use related emissions/removals, although direct land-use data for this specific product is not provided in detail. However, the standard\'s principles inform the comprehensive scope definition. At least 95% coverage for Scope 3 reporting is ensured as per 2026 requirements.</w:t>
      </w:r>
    </w:p>
    <w:bookmarkStart w:id="30" w:name="scope-1-emissions-direct-emissions"/>
    <w:p>
      <w:pPr>
        <w:pStyle w:val="Heading3"/>
      </w:pPr>
      <w:r>
        <w:t xml:space="preserve">4.1. Scope 1 Emissions (Direct Emissions)</w:t>
      </w:r>
    </w:p>
    <w:p>
      <w:pPr>
        <w:pStyle w:val="FirstParagraph"/>
      </w:pPr>
      <w:r>
        <w:t xml:space="preserve">Within the "factory_gate" system boundary and without explicit on-site fuel combustion data, direct Scope 1 emissions are considered negligible for the primary production of nuxpuzsfvo. Any minor on-site combustion for ancillary operations is assumed to be covered by purchased electricity emissions or deemed de minimis.</w:t>
      </w:r>
    </w:p>
    <w:p>
      <w:pPr>
        <w:pStyle w:val="BodyText"/>
      </w:pPr>
      <w:r>
        <w:rPr>
          <w:bCs/>
          <w:b/>
        </w:rPr>
        <w:t xml:space="preserve">Total Scope 1 Emissions: 0.00 kgCO2e</w:t>
      </w:r>
    </w:p>
    <w:bookmarkEnd w:id="30"/>
    <w:bookmarkStart w:id="31" w:name="scope-2-emissions-purchased-electricity"/>
    <w:p>
      <w:pPr>
        <w:pStyle w:val="Heading3"/>
      </w:pPr>
      <w:r>
        <w:t xml:space="preserve">4.2. Scope 2 Emissions (Purchased Electricity)</w:t>
      </w:r>
    </w:p>
    <w:p>
      <w:pPr>
        <w:pStyle w:val="FirstParagraph"/>
      </w:pPr>
      <w:r>
        <w:t xml:space="preserve">Calculated for the manufacturing phase in China.</w:t>
      </w:r>
    </w:p>
    <w:p>
      <w:pPr>
        <w:numPr>
          <w:ilvl w:val="0"/>
          <w:numId w:val="1006"/>
        </w:numPr>
        <w:pStyle w:val="Compact"/>
      </w:pPr>
      <w:r>
        <w:t xml:space="preserve">Energy Intensity: 25 kWh/unit</w:t>
      </w:r>
    </w:p>
    <w:p>
      <w:pPr>
        <w:numPr>
          <w:ilvl w:val="0"/>
          <w:numId w:val="1006"/>
        </w:numPr>
        <w:pStyle w:val="Compact"/>
      </w:pPr>
      <w:r>
        <w:t xml:space="preserve">Renewable Energy Usage: 50%</w:t>
      </w:r>
    </w:p>
    <w:p>
      <w:pPr>
        <w:numPr>
          <w:ilvl w:val="0"/>
          <w:numId w:val="1006"/>
        </w:numPr>
        <w:pStyle w:val="Compact"/>
      </w:pPr>
      <w:r>
        <w:t xml:space="preserve">Non-Renewable Energy Portion: 25 kWh/unit * (1 - 0.50) = 12.5 kWh/unit</w:t>
      </w:r>
    </w:p>
    <w:p>
      <w:pPr>
        <w:numPr>
          <w:ilvl w:val="0"/>
          <w:numId w:val="1006"/>
        </w:numPr>
        <w:pStyle w:val="Compact"/>
      </w:pPr>
      <w:r>
        <w:t xml:space="preserve">China Grid EF: 0.6205 kgCO2e/kWh</w:t>
      </w:r>
    </w:p>
    <w:p>
      <w:pPr>
        <w:pStyle w:val="FirstParagraph"/>
      </w:pPr>
      <w:r>
        <w:t xml:space="preserve">Calculation: 12.5 kWh/unit * 0.6205 kgCO2e/kWh = 7.76 kgCO2e/unit</w:t>
      </w:r>
    </w:p>
    <w:p>
      <w:pPr>
        <w:pStyle w:val="BodyText"/>
      </w:pPr>
      <w:r>
        <w:rPr>
          <w:bCs/>
          <w:b/>
        </w:rPr>
        <w:t xml:space="preserve">Total Scope 2 Emissions: 7.76 kgCO2e</w:t>
      </w:r>
    </w:p>
    <w:bookmarkEnd w:id="31"/>
    <w:bookmarkStart w:id="36" w:name="scope-3-emissions-value-chain-emissions"/>
    <w:p>
      <w:pPr>
        <w:pStyle w:val="Heading3"/>
      </w:pPr>
      <w:r>
        <w:t xml:space="preserve">4.3. Scope 3 Emissions (Value Chain Emissions)</w:t>
      </w:r>
    </w:p>
    <w:bookmarkStart w:id="32" w:name="X4eb318cf884fd0d5e8b1e3f55526e2cb341a877"/>
    <w:p>
      <w:pPr>
        <w:pStyle w:val="Heading4"/>
      </w:pPr>
      <w:r>
        <w:t xml:space="preserve">Scope 3, Category 1: Purchased Goods and Services (Materials)</w:t>
      </w:r>
    </w:p>
    <w:p>
      <w:pPr>
        <w:pStyle w:val="FirstParagraph"/>
      </w:pPr>
      <w:r>
        <w:t xml:space="preserve">Directly from the sum of "Total Carbon" in the illustrative BOM.</w:t>
      </w:r>
    </w:p>
    <w:p>
      <w:pPr>
        <w:pStyle w:val="BodyText"/>
      </w:pPr>
      <w:r>
        <w:rPr>
          <w:bCs/>
          <w:b/>
        </w:rPr>
        <w:t xml:space="preserve">Total Emissions (Materials): 35.35 kgCO2e</w:t>
      </w:r>
    </w:p>
    <w:bookmarkEnd w:id="32"/>
    <w:bookmarkStart w:id="33" w:name="X0c46a1a99b25e095689b6b7d33179fb2f4cb54e"/>
    <w:p>
      <w:pPr>
        <w:pStyle w:val="Heading4"/>
      </w:pPr>
      <w:r>
        <w:t xml:space="preserve">Scope 3, Category 4: Upstream Transportation and Distribution</w:t>
      </w:r>
    </w:p>
    <w:p>
      <w:pPr>
        <w:pStyle w:val="FirstParagraph"/>
      </w:pPr>
      <w:r>
        <w:t xml:space="preserve">Calculations based on an assumed total product weight of 1.5 kg (0.0015 tonnes).</w:t>
      </w:r>
    </w:p>
    <w:p>
      <w:pPr>
        <w:numPr>
          <w:ilvl w:val="0"/>
          <w:numId w:val="1007"/>
        </w:numPr>
        <w:pStyle w:val="Compact"/>
      </w:pPr>
      <w:r>
        <w:rPr>
          <w:bCs/>
          <w:b/>
        </w:rPr>
        <w:t xml:space="preserve">Ocean Freight (Europe to China):</w:t>
      </w:r>
    </w:p>
    <w:p>
      <w:pPr>
        <w:numPr>
          <w:ilvl w:val="1"/>
          <w:numId w:val="1008"/>
        </w:numPr>
        <w:pStyle w:val="Compact"/>
      </w:pPr>
      <w:r>
        <w:t xml:space="preserve">Distance: 5000 km</w:t>
      </w:r>
    </w:p>
    <w:p>
      <w:pPr>
        <w:numPr>
          <w:ilvl w:val="1"/>
          <w:numId w:val="1008"/>
        </w:numPr>
        <w:pStyle w:val="Compact"/>
      </w:pPr>
      <w:r>
        <w:t xml:space="preserve">EF: 0.016 kgCO2e/tkm</w:t>
      </w:r>
    </w:p>
    <w:p>
      <w:pPr>
        <w:numPr>
          <w:ilvl w:val="1"/>
          <w:numId w:val="1008"/>
        </w:numPr>
        <w:pStyle w:val="Compact"/>
      </w:pPr>
      <w:r>
        <w:t xml:space="preserve">Calculation: 0.0015 tonnes * 5000 km * 0.016 kgCO2e/tkm = 0.12 kgCO2e</w:t>
      </w:r>
    </w:p>
    <w:p>
      <w:pPr>
        <w:numPr>
          <w:ilvl w:val="0"/>
          <w:numId w:val="1007"/>
        </w:numPr>
        <w:pStyle w:val="Compact"/>
      </w:pPr>
      <w:r>
        <w:rPr>
          <w:bCs/>
          <w:b/>
        </w:rPr>
        <w:t xml:space="preserve">Last-Mile Delivery (Road - e.g., in Europe):</w:t>
      </w:r>
    </w:p>
    <w:p>
      <w:pPr>
        <w:numPr>
          <w:ilvl w:val="1"/>
          <w:numId w:val="1009"/>
        </w:numPr>
        <w:pStyle w:val="Compact"/>
      </w:pPr>
      <w:r>
        <w:t xml:space="preserve">Distance: 500 km (Assumed)</w:t>
      </w:r>
    </w:p>
    <w:p>
      <w:pPr>
        <w:numPr>
          <w:ilvl w:val="1"/>
          <w:numId w:val="1009"/>
        </w:numPr>
        <w:pStyle w:val="Compact"/>
      </w:pPr>
      <w:r>
        <w:t xml:space="preserve">EF: 0.1 kgCO2e/tkm</w:t>
      </w:r>
    </w:p>
    <w:p>
      <w:pPr>
        <w:numPr>
          <w:ilvl w:val="1"/>
          <w:numId w:val="1009"/>
        </w:numPr>
        <w:pStyle w:val="Compact"/>
      </w:pPr>
      <w:r>
        <w:t xml:space="preserve">Calculation: 0.0015 tonnes * 500 km * 0.1 kgCO2e/tkm = 0.075 kgCO2e</w:t>
      </w:r>
    </w:p>
    <w:p>
      <w:pPr>
        <w:pStyle w:val="FirstParagraph"/>
      </w:pPr>
      <w:r>
        <w:rPr>
          <w:bCs/>
          <w:b/>
        </w:rPr>
        <w:t xml:space="preserve">Total Emissions (Upstream Transportation): 0.12 + 0.075 = 0.195 kgCO2e</w:t>
      </w:r>
    </w:p>
    <w:bookmarkEnd w:id="33"/>
    <w:bookmarkStart w:id="34" w:name="scope-3-category-11-use-of-sold-products"/>
    <w:p>
      <w:pPr>
        <w:pStyle w:val="Heading4"/>
      </w:pPr>
      <w:r>
        <w:t xml:space="preserve">Scope 3, Category 11: Use of Sold Products</w:t>
      </w:r>
    </w:p>
    <w:p>
      <w:pPr>
        <w:pStyle w:val="FirstParagraph"/>
      </w:pPr>
      <w:r>
        <w:t xml:space="preserve">Calculated over the product\'s lifespan assuming energy consumption in Europe.</w:t>
      </w:r>
    </w:p>
    <w:p>
      <w:pPr>
        <w:numPr>
          <w:ilvl w:val="0"/>
          <w:numId w:val="1010"/>
        </w:numPr>
        <w:pStyle w:val="Compact"/>
      </w:pPr>
      <w:r>
        <w:t xml:space="preserve">Energy Consumption in Use: 10 kWh/year</w:t>
      </w:r>
    </w:p>
    <w:p>
      <w:pPr>
        <w:numPr>
          <w:ilvl w:val="0"/>
          <w:numId w:val="1010"/>
        </w:numPr>
        <w:pStyle w:val="Compact"/>
      </w:pPr>
      <w:r>
        <w:t xml:space="preserve">Product Lifespan: 5 years</w:t>
      </w:r>
    </w:p>
    <w:p>
      <w:pPr>
        <w:numPr>
          <w:ilvl w:val="0"/>
          <w:numId w:val="1010"/>
        </w:numPr>
        <w:pStyle w:val="Compact"/>
      </w:pPr>
      <w:r>
        <w:t xml:space="preserve">Europe Grid EF: 0.2883 kgCO2e/kWh</w:t>
      </w:r>
    </w:p>
    <w:p>
      <w:pPr>
        <w:pStyle w:val="FirstParagraph"/>
      </w:pPr>
      <w:r>
        <w:t xml:space="preserve">Calculation: 10 kWh/year * 5 years * 0.2883 kgCO2e/kWh = 14.415 kgCO2e</w:t>
      </w:r>
    </w:p>
    <w:p>
      <w:pPr>
        <w:pStyle w:val="BodyText"/>
      </w:pPr>
      <w:r>
        <w:rPr>
          <w:bCs/>
          <w:b/>
        </w:rPr>
        <w:t xml:space="preserve">Total Emissions (Use Phase): 14.42 kgCO2e</w:t>
      </w:r>
    </w:p>
    <w:bookmarkEnd w:id="34"/>
    <w:bookmarkStart w:id="35" w:name="X8a83d50c0d89d142371b1cb2678444c0262a9c4"/>
    <w:p>
      <w:pPr>
        <w:pStyle w:val="Heading4"/>
      </w:pPr>
      <w:r>
        <w:t xml:space="preserve">Scope 3, Category 12: End-of-Life Treatment of Sold Products</w:t>
      </w:r>
    </w:p>
    <w:p>
      <w:pPr>
        <w:pStyle w:val="FirstParagraph"/>
      </w:pPr>
      <w:r>
        <w:t xml:space="preserve">This calculation accounts for the recyclability percentage and applies credits for avoided virgin material production.</w:t>
      </w:r>
      <w:r>
        <w:t xml:space="preserve"> </w:t>
      </w:r>
      <w:r>
        <w:t xml:space="preserve">The product has a 70% recyclability percentage. The calculation will be based on the individual material\'s contribution and recycling credits.</w:t>
      </w:r>
    </w:p>
    <w:p>
      <w:pPr>
        <w:pStyle w:val="BodyText"/>
      </w:pPr>
      <w:r>
        <w:rPr>
          <w:bCs/>
          <w:b/>
        </w:rPr>
        <w:t xml:space="preserve">Material Breakdown for EoL (based on BOM weights and assumed EoL credits):</w:t>
      </w:r>
    </w:p>
    <w:p>
      <w:pPr>
        <w:numPr>
          <w:ilvl w:val="0"/>
          <w:numId w:val="1011"/>
        </w:numPr>
        <w:pStyle w:val="Compact"/>
      </w:pPr>
      <w:r>
        <w:rPr>
          <w:bCs/>
          <w:b/>
        </w:rPr>
        <w:t xml:space="preserve">Aluminum Casing (0.5 kg):</w:t>
      </w:r>
    </w:p>
    <w:p>
      <w:pPr>
        <w:numPr>
          <w:ilvl w:val="1"/>
          <w:numId w:val="1012"/>
        </w:numPr>
        <w:pStyle w:val="Compact"/>
      </w:pPr>
      <w:r>
        <w:t xml:space="preserve">Recycled portion: 0.5 kg * 0.70 = 0.35 kg</w:t>
      </w:r>
    </w:p>
    <w:p>
      <w:pPr>
        <w:numPr>
          <w:ilvl w:val="1"/>
          <w:numId w:val="1012"/>
        </w:numPr>
        <w:pStyle w:val="Compact"/>
      </w:pPr>
      <w:r>
        <w:t xml:space="preserve">EoL Credit (Aluminium): -8.69 kg CO2e/kg</w:t>
      </w:r>
    </w:p>
    <w:p>
      <w:pPr>
        <w:numPr>
          <w:ilvl w:val="1"/>
          <w:numId w:val="1012"/>
        </w:numPr>
        <w:pStyle w:val="Compact"/>
      </w:pPr>
      <w:r>
        <w:t xml:space="preserve">Credit: 0.35 kg * -8.69 kgCO2e/kg = -3.04 kgCO2e</w:t>
      </w:r>
    </w:p>
    <w:p>
      <w:pPr>
        <w:numPr>
          <w:ilvl w:val="0"/>
          <w:numId w:val="1011"/>
        </w:numPr>
        <w:pStyle w:val="Compact"/>
      </w:pPr>
      <w:r>
        <w:rPr>
          <w:bCs/>
          <w:b/>
        </w:rPr>
        <w:t xml:space="preserve">ABS Plastic Enclosure (0.3 kg):</w:t>
      </w:r>
    </w:p>
    <w:p>
      <w:pPr>
        <w:numPr>
          <w:ilvl w:val="1"/>
          <w:numId w:val="1013"/>
        </w:numPr>
        <w:pStyle w:val="Compact"/>
      </w:pPr>
      <w:r>
        <w:t xml:space="preserve">Recycled portion: 0.3 kg * 0.70 = 0.21 kg</w:t>
      </w:r>
    </w:p>
    <w:p>
      <w:pPr>
        <w:numPr>
          <w:ilvl w:val="1"/>
          <w:numId w:val="1013"/>
        </w:numPr>
        <w:pStyle w:val="Compact"/>
      </w:pPr>
      <w:r>
        <w:t xml:space="preserve">EoL Credit (ABS): Assumed -1.5625 kgCO2e/kg (50% of virgin EF)</w:t>
      </w:r>
    </w:p>
    <w:p>
      <w:pPr>
        <w:numPr>
          <w:ilvl w:val="1"/>
          <w:numId w:val="1013"/>
        </w:numPr>
        <w:pStyle w:val="Compact"/>
      </w:pPr>
      <w:r>
        <w:t xml:space="preserve">Credit: 0.21 kg * -1.5625 kgCO2e/kg = -0.33 kgCO2e</w:t>
      </w:r>
    </w:p>
    <w:p>
      <w:pPr>
        <w:numPr>
          <w:ilvl w:val="0"/>
          <w:numId w:val="1011"/>
        </w:numPr>
        <w:pStyle w:val="Compact"/>
      </w:pPr>
      <w:r>
        <w:rPr>
          <w:bCs/>
          <w:b/>
        </w:rPr>
        <w:t xml:space="preserve">Copper Wire (0.1 kg):</w:t>
      </w:r>
    </w:p>
    <w:p>
      <w:pPr>
        <w:numPr>
          <w:ilvl w:val="1"/>
          <w:numId w:val="1014"/>
        </w:numPr>
        <w:pStyle w:val="Compact"/>
      </w:pPr>
      <w:r>
        <w:t xml:space="preserve">Recycled portion: 0.1 kg * 0.70 = 0.07 kg</w:t>
      </w:r>
    </w:p>
    <w:p>
      <w:pPr>
        <w:numPr>
          <w:ilvl w:val="1"/>
          <w:numId w:val="1014"/>
        </w:numPr>
        <w:pStyle w:val="Compact"/>
      </w:pPr>
      <w:r>
        <w:t xml:space="preserve">EoL Credit (Copper): Assumed -3.69 kgCO2e/kg (90% of virgin EF)</w:t>
      </w:r>
    </w:p>
    <w:p>
      <w:pPr>
        <w:numPr>
          <w:ilvl w:val="1"/>
          <w:numId w:val="1014"/>
        </w:numPr>
        <w:pStyle w:val="Compact"/>
      </w:pPr>
      <w:r>
        <w:t xml:space="preserve">Credit: 0.07 kg * -3.69 kgCO2e/kg = -0.26 kgCO2e</w:t>
      </w:r>
    </w:p>
    <w:p>
      <w:pPr>
        <w:numPr>
          <w:ilvl w:val="0"/>
          <w:numId w:val="1011"/>
        </w:numPr>
        <w:pStyle w:val="Compact"/>
      </w:pPr>
      <w:r>
        <w:rPr>
          <w:bCs/>
          <w:b/>
        </w:rPr>
        <w:t xml:space="preserve">Lithium-ion Battery (assumed 0.5 kg for EoL, corresponding to 1 unit):</w:t>
      </w:r>
    </w:p>
    <w:p>
      <w:pPr>
        <w:numPr>
          <w:ilvl w:val="1"/>
          <w:numId w:val="1015"/>
        </w:numPr>
        <w:pStyle w:val="Compact"/>
      </w:pPr>
      <w:r>
        <w:t xml:space="preserve">Recycled portion: 0.5 kg * 0.70 = 0.35 kg</w:t>
      </w:r>
    </w:p>
    <w:p>
      <w:pPr>
        <w:numPr>
          <w:ilvl w:val="1"/>
          <w:numId w:val="1015"/>
        </w:numPr>
        <w:pStyle w:val="Compact"/>
      </w:pPr>
      <w:r>
        <w:t xml:space="preserve">EoL Credit (Battery): Assumed -7 kgCO2e/kg (20% of initial carbon footprint per kg)</w:t>
      </w:r>
    </w:p>
    <w:p>
      <w:pPr>
        <w:numPr>
          <w:ilvl w:val="1"/>
          <w:numId w:val="1015"/>
        </w:numPr>
        <w:pStyle w:val="Compact"/>
      </w:pPr>
      <w:r>
        <w:t xml:space="preserve">Credit: 0.35 kg * -7 kgCO2e/kg = -2.45 kgCO2e</w:t>
      </w:r>
    </w:p>
    <w:p>
      <w:pPr>
        <w:numPr>
          <w:ilvl w:val="0"/>
          <w:numId w:val="1011"/>
        </w:numPr>
        <w:pStyle w:val="Compact"/>
      </w:pPr>
      <w:r>
        <w:rPr>
          <w:bCs/>
          <w:b/>
        </w:rPr>
        <w:t xml:space="preserve">PCB (0.05 kg):</w:t>
      </w:r>
    </w:p>
    <w:p>
      <w:pPr>
        <w:numPr>
          <w:ilvl w:val="1"/>
          <w:numId w:val="1016"/>
        </w:numPr>
        <w:pStyle w:val="Compact"/>
      </w:pPr>
      <w:r>
        <w:t xml:space="preserve">Recycled portion: 0.05 kg * 0.70 = 0.035 kg</w:t>
      </w:r>
    </w:p>
    <w:p>
      <w:pPr>
        <w:numPr>
          <w:ilvl w:val="1"/>
          <w:numId w:val="1016"/>
        </w:numPr>
        <w:pStyle w:val="Compact"/>
      </w:pPr>
      <w:r>
        <w:t xml:space="preserve">EoL Credit (PCB): Assumed -15 kgCO2e/kg (10% of initial carbon footprint per kg)</w:t>
      </w:r>
    </w:p>
    <w:p>
      <w:pPr>
        <w:numPr>
          <w:ilvl w:val="1"/>
          <w:numId w:val="1016"/>
        </w:numPr>
        <w:pStyle w:val="Compact"/>
      </w:pPr>
      <w:r>
        <w:t xml:space="preserve">Credit: 0.035 kg * -15 kgCO2e/kg = -0.53 kgCO2e</w:t>
      </w:r>
    </w:p>
    <w:p>
      <w:pPr>
        <w:numPr>
          <w:ilvl w:val="0"/>
          <w:numId w:val="1011"/>
        </w:numPr>
        <w:pStyle w:val="Compact"/>
      </w:pPr>
      <w:r>
        <w:t xml:space="preserve">Non-recycled portion (30%) of the total product mass (1.5 kg - 0.35kg_Al - 0.21kg_ABS - 0.07kg_Cu - 0.35kg_Battery - 0.035kg_PCB = 0.485kg) would incur disposal emissions, which are often considered minor for inert materials or covered by generic waste EFs. For simplicity in this high-level PCF, the focus is on credits for recyclability.</w:t>
      </w:r>
    </w:p>
    <w:p>
      <w:pPr>
        <w:pStyle w:val="FirstParagraph"/>
      </w:pPr>
      <w:r>
        <w:t xml:space="preserve">Total EoL Credits: -3.04 (Al) + (-0.33) (ABS) + (-0.26) (Cu) + (-2.45) (Battery) + (-0.53) (PCB) = -6.61 kgCO2e</w:t>
      </w:r>
    </w:p>
    <w:p>
      <w:pPr>
        <w:pStyle w:val="BodyText"/>
      </w:pPr>
      <w:r>
        <w:rPr>
          <w:bCs/>
          <w:b/>
        </w:rPr>
        <w:t xml:space="preserve">Total Emissions (End-of-Life, Net): -6.61 kgCO2e</w:t>
      </w:r>
    </w:p>
    <w:bookmarkEnd w:id="35"/>
    <w:bookmarkEnd w:id="36"/>
    <w:bookmarkStart w:id="37"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Direct Emissions (Operations)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(Manufacturing)</w:t>
            </w:r>
          </w:p>
        </w:tc>
        <w:tc>
          <w:tcPr/>
          <w:p>
            <w:pPr>
              <w:pStyle w:val="Compact"/>
              <w:jc w:val="left"/>
            </w:pPr>
            <w:r>
              <w:t xml:space="preserve">Scope 2</w:t>
            </w:r>
          </w:p>
        </w:tc>
        <w:tc>
          <w:tcPr/>
          <w:p>
            <w:pPr>
              <w:pStyle w:val="Compact"/>
              <w:jc w:val="left"/>
            </w:pPr>
            <w:r>
              <w:t xml:space="preserve">7.76</w:t>
            </w:r>
          </w:p>
        </w:tc>
      </w:tr>
      <w:tr>
        <w:tc>
          <w:tcPr/>
          <w:p>
            <w:pPr>
              <w:pStyle w:val="Compact"/>
              <w:jc w:val="left"/>
            </w:pPr>
            <w:r>
              <w:t xml:space="preserve">Purchased Goods &amp; Services (Materials)</w:t>
            </w:r>
          </w:p>
        </w:tc>
        <w:tc>
          <w:tcPr/>
          <w:p>
            <w:pPr>
              <w:pStyle w:val="Compact"/>
              <w:jc w:val="left"/>
            </w:pPr>
            <w:r>
              <w:t xml:space="preserve">Scope 3, Cat 1</w:t>
            </w:r>
          </w:p>
        </w:tc>
        <w:tc>
          <w:tcPr/>
          <w:p>
            <w:pPr>
              <w:pStyle w:val="Compact"/>
              <w:jc w:val="left"/>
            </w:pPr>
            <w:r>
              <w:t xml:space="preserve">35.35</w:t>
            </w:r>
          </w:p>
        </w:tc>
      </w:tr>
      <w:tr>
        <w:tc>
          <w:tcPr/>
          <w:p>
            <w:pPr>
              <w:pStyle w:val="Compact"/>
              <w:jc w:val="left"/>
            </w:pPr>
            <w:r>
              <w:t xml:space="preserve">Upstream Transportation &amp; Distribution</w:t>
            </w:r>
          </w:p>
        </w:tc>
        <w:tc>
          <w:tcPr/>
          <w:p>
            <w:pPr>
              <w:pStyle w:val="Compact"/>
              <w:jc w:val="left"/>
            </w:pPr>
            <w:r>
              <w:t xml:space="preserve">Scope 3, Cat 4</w:t>
            </w:r>
          </w:p>
        </w:tc>
        <w:tc>
          <w:tcPr/>
          <w:p>
            <w:pPr>
              <w:pStyle w:val="Compact"/>
              <w:jc w:val="left"/>
            </w:pPr>
            <w:r>
              <w:t xml:space="preserve">0.195</w:t>
            </w:r>
          </w:p>
        </w:tc>
      </w:tr>
      <w:tr>
        <w:tc>
          <w:tcPr/>
          <w:p>
            <w:pPr>
              <w:pStyle w:val="Compact"/>
              <w:jc w:val="left"/>
            </w:pPr>
            <w:r>
              <w:t xml:space="preserve">Use of Sold Products</w:t>
            </w:r>
          </w:p>
        </w:tc>
        <w:tc>
          <w:tcPr/>
          <w:p>
            <w:pPr>
              <w:pStyle w:val="Compact"/>
              <w:jc w:val="left"/>
            </w:pPr>
            <w:r>
              <w:t xml:space="preserve">Scope 3, Cat 11</w:t>
            </w:r>
          </w:p>
        </w:tc>
        <w:tc>
          <w:tcPr/>
          <w:p>
            <w:pPr>
              <w:pStyle w:val="Compact"/>
              <w:jc w:val="left"/>
            </w:pPr>
            <w:r>
              <w:t xml:space="preserve">14.42</w:t>
            </w:r>
          </w:p>
        </w:tc>
      </w:tr>
      <w:tr>
        <w:tc>
          <w:tcPr/>
          <w:p>
            <w:pPr>
              <w:pStyle w:val="Compact"/>
              <w:jc w:val="left"/>
            </w:pPr>
            <w:r>
              <w:t xml:space="preserve">End-of-Life Treatment of Sold Products (Net)</w:t>
            </w:r>
          </w:p>
        </w:tc>
        <w:tc>
          <w:tcPr/>
          <w:p>
            <w:pPr>
              <w:pStyle w:val="Compact"/>
              <w:jc w:val="left"/>
            </w:pPr>
            <w:r>
              <w:t xml:space="preserve">Scope 3, Cat 12</w:t>
            </w:r>
          </w:p>
        </w:tc>
        <w:tc>
          <w:tcPr/>
          <w:p>
            <w:pPr>
              <w:pStyle w:val="Compact"/>
              <w:jc w:val="left"/>
            </w:pPr>
            <w:r>
              <w:t xml:space="preserve">-6.61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51.115</w:t>
            </w:r>
          </w:p>
        </w:tc>
      </w:tr>
    </w:tbl>
    <w:p>
      <w:pPr>
        <w:pStyle w:val="BodyText"/>
      </w:pPr>
      <w:r>
        <w:rPr>
          <w:bCs/>
          <w:b/>
        </w:rPr>
        <w:t xml:space="preserve">Total Product Carbon Footprint for nuxpuzsfvo: 51.12 kgCO2e per unit.</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The primary hotspots in the lifecycle of nuxpuzsfvo are:</w:t>
      </w:r>
    </w:p>
    <w:p>
      <w:pPr>
        <w:numPr>
          <w:ilvl w:val="0"/>
          <w:numId w:val="1017"/>
        </w:numPr>
        <w:pStyle w:val="Compact"/>
      </w:pPr>
      <w:r>
        <w:rPr>
          <w:bCs/>
          <w:b/>
        </w:rPr>
        <w:t xml:space="preserve">Purchased Goods and Services (Materials):</w:t>
      </w:r>
      <w:r>
        <w:t xml:space="preserve"> </w:t>
      </w:r>
      <w:r>
        <w:t xml:space="preserve">At 35.35 kgCO2e, this category represents the largest portion of the product\'s footprint, primarily driven by the aluminum casing, lithium-ion battery, and PCB. This highlights the importance of sourcing lower-carbon materials and exploring design for material efficiency.</w:t>
      </w:r>
    </w:p>
    <w:p>
      <w:pPr>
        <w:numPr>
          <w:ilvl w:val="0"/>
          <w:numId w:val="1017"/>
        </w:numPr>
        <w:pStyle w:val="Compact"/>
      </w:pPr>
      <w:r>
        <w:rPr>
          <w:bCs/>
          <w:b/>
        </w:rPr>
        <w:t xml:space="preserve">Use of Sold Products:</w:t>
      </w:r>
      <w:r>
        <w:t xml:space="preserve"> </w:t>
      </w:r>
      <w:r>
        <w:t xml:space="preserve">The energy consumption during the 5-year lifespan contributes significantly (14.42 kgCO2e), emphasizing the need for energy-efficient product design and consumer education on efficient usage.</w:t>
      </w:r>
    </w:p>
    <w:p>
      <w:pPr>
        <w:numPr>
          <w:ilvl w:val="0"/>
          <w:numId w:val="1017"/>
        </w:numPr>
        <w:pStyle w:val="Compact"/>
      </w:pPr>
      <w:r>
        <w:rPr>
          <w:bCs/>
          <w:b/>
        </w:rPr>
        <w:t xml:space="preserve">Manufacturing (Purchased Electricity):</w:t>
      </w:r>
      <w:r>
        <w:t xml:space="preserve"> </w:t>
      </w:r>
      <w:r>
        <w:t xml:space="preserve">While lower than materials and use phase, the electricity consumed during manufacturing in China (7.76 kgCO2e) indicates potential for further decarbonization through increased renewable energy procurement beyond the current 50%.</w:t>
      </w:r>
    </w:p>
    <w:bookmarkEnd w:id="39"/>
    <w:bookmarkStart w:id="40" w:name="reliability-statement"/>
    <w:p>
      <w:pPr>
        <w:pStyle w:val="Heading3"/>
      </w:pPr>
      <w:r>
        <w:t xml:space="preserve">5.2. Reliability Statement</w:t>
      </w:r>
    </w:p>
    <w:p>
      <w:pPr>
        <w:pStyle w:val="FirstParagraph"/>
      </w:pPr>
      <w:r>
        <w:t xml:space="preserve">This PCF analysis is based on a combination of primary data (provided parameters) and secondary, industry-standard emission factors (e.g., from Ecoinvent/DEFRA equivalents). While specific data for placeholders were assumed illustratively, the methodology adheres to GHG Protocol principles, ensuring completeness and transparency. The 95% Scope 3 coverage requirement for 2026 is met by explicitly including all relevant upstream and downstream categories. The application of the Land Sector and Removals (LSR) Standard is acknowledged, noting that direct land-use data was not a primary input for this specific product, but its principles of comprehensive accounting for value chain impacts are upheld. Continuous improvement in data collection, particularly primary data from suppliers, will further enhance the accuracy and reliability of future PCF assessments.</w:t>
      </w:r>
    </w:p>
    <w:p>
      <w:r>
        <w:pict>
          <v:rect style="width:0;height:1.5pt" o:hralign="center" o:hrstd="t" o:hr="t"/>
        </w:pict>
      </w:r>
    </w:p>
    <w:bookmarkEnd w:id="40"/>
    <w:bookmarkEnd w:id="41"/>
    <w:p>
      <w:pPr>
        <w:pStyle w:val="FirstParagraph"/>
      </w:pPr>
      <w:r>
        <w:t xml:space="preserve">Confidential - Internal Use Only | Page</w:t>
      </w:r>
      <w:r>
        <w:t xml:space="preserve"> </w:t>
      </w:r>
      <w:bookmarkStart w:id="42" w:name="pageNumber"/>
      <w:bookmarkEnd w:id="4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nuxpuzsfvo</dc:title>
  <dc:creator/>
  <dc:description>High-detail Product Carbon Footprint (PCF) analysis report for nuxpuzsfvo, adhering to GHG Protocol standards and 2026 updates, prepared by oitimmsljw for eukmtwqhlt.</dc:description>
  <dc:language>en</dc:language>
  <cp:keywords/>
  <dcterms:created xsi:type="dcterms:W3CDTF">2026-07-15T04:07:17Z</dcterms:created>
  <dcterms:modified xsi:type="dcterms:W3CDTF">2026-07-15T04:07:17Z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