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nuoosvufdy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nuoosvufdy</w:t>
      </w:r>
    </w:p>
    <w:p>
      <w:pPr>
        <w:pStyle w:val="BodyText"/>
      </w:pPr>
      <w:r>
        <w:rPr>
          <w:bCs/>
          <w:b/>
        </w:rPr>
        <w:t xml:space="preserve">Company:</w:t>
      </w:r>
      <w:r>
        <w:t xml:space="preserve"> </w:t>
      </w:r>
      <w:r>
        <w:t xml:space="preserve">liqsdrrpjh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jgzhmwqdpj</w:t>
      </w:r>
    </w:p>
    <w:p>
      <w:pPr>
        <w:pStyle w:val="BodyText"/>
      </w:pPr>
      <w:r>
        <w:t xml:space="preserve">Disclaimer: This report is generated based on available data and industry standards, including specific parameters provided. Assumptions have been made for generic emission factors and certain data interpretations where precise primary data was not available or fully specified.</w:t>
      </w:r>
    </w:p>
    <w:bookmarkEnd w:id="20"/>
    <w:bookmarkStart w:id="44" w:name="X13157a727135cd9550b3f7979c09bf6c703e727"/>
    <w:p>
      <w:pPr>
        <w:pStyle w:val="Heading1"/>
      </w:pPr>
      <w:r>
        <w:t xml:space="preserve">Product Carbon Footprint Analysis Report: nuoosvufdy</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nuoosvufdy, a product manufactured by liqsdrrpjh. The analysis was conducted by jgzhmwqdpj, Senior Sustainability Consultant, adhering strictly to the Greenhouse Gas (GHG) Protocol standards, including the recent 2026 Land Sector and Removals (LSR) Standard updates. The total estimated cradle-to-grave carbon footprint for one functional unit of nuoosvufdy is</w:t>
      </w:r>
      <w:r>
        <w:t xml:space="preserve"> </w:t>
      </w:r>
      <w:r>
        <w:rPr>
          <w:bCs/>
          <w:b/>
        </w:rPr>
        <w:t xml:space="preserve">29.49 kg CO2e</w:t>
      </w:r>
      <w:r>
        <w:t xml:space="preserve">. The Use Phase contributes the most significant portion of the emissions, highlighting opportunities for energy efficiency improvements during product operation.</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(PCF) analysis is defined in accordance with the GHG Protocol, ensuring a consistent and comprehensive assessment.</w:t>
      </w:r>
    </w:p>
    <w:p>
      <w:pPr>
        <w:numPr>
          <w:ilvl w:val="0"/>
          <w:numId w:val="1001"/>
        </w:numPr>
        <w:pStyle w:val="Compact"/>
      </w:pPr>
      <w:r>
        <w:rPr>
          <w:bCs/>
          <w:b/>
        </w:rPr>
        <w:t xml:space="preserve">Functional Unit:</w:t>
      </w:r>
      <w:r>
        <w:t xml:space="preserve"> </w:t>
      </w:r>
      <w:r>
        <w:t xml:space="preserve">1.0 unit of nuoosvufdy.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Factory-gate to grave. This encompasses emissions from raw material acquisition, manufacturing, transport, use, and end-of-life stages.</w:t>
      </w:r>
    </w:p>
    <w:p>
      <w:pPr>
        <w:numPr>
          <w:ilvl w:val="0"/>
          <w:numId w:val="1001"/>
        </w:numPr>
        <w:pStyle w:val="Compact"/>
      </w:pPr>
      <w:r>
        <w:rPr>
          <w:bCs/>
          <w:b/>
        </w:rPr>
        <w:t xml:space="preserve">Geographic Scope:</w:t>
      </w:r>
      <w:r>
        <w:t xml:space="preserve"> </w:t>
      </w:r>
      <w:r>
        <w:t xml:space="preserve">Final Production Country: China. Supply Chain Focus: Europe Focused. This considers specific regional electricity mixes and transport routes relevant to the product\'s journey.</w:t>
      </w:r>
    </w:p>
    <w:p>
      <w:pPr>
        <w:numPr>
          <w:ilvl w:val="0"/>
          <w:numId w:val="1001"/>
        </w:numPr>
        <w:pStyle w:val="Compact"/>
      </w:pPr>
      <w:r>
        <w:rPr>
          <w:bCs/>
          <w:b/>
        </w:rPr>
        <w:t xml:space="preserve">Accounting Standard:</w:t>
      </w:r>
      <w:r>
        <w:t xml:space="preserve"> </w:t>
      </w:r>
      <w:r>
        <w:t xml:space="preserve">GHG Protocol. This report strictly follows the methodologies and categorization principles outlined by the GHG Protocol for robust and transparent greenhouse gas accounting.</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vehicles carrying multiple products), emissions are allocated based on mass where appropriate.</w:t>
      </w:r>
    </w:p>
    <w:p>
      <w:r>
        <w:pict>
          <v:rect style="width:0;height:1.5pt" o:hralign="center" o:hrstd="t" o:hr="t"/>
        </w:pict>
      </w:r>
    </w:p>
    <w:bookmarkEnd w:id="22"/>
    <w:bookmarkStart w:id="28" w:name="Xf9aefb2ea8883b9018cac308e12ad149b847e49"/>
    <w:p>
      <w:pPr>
        <w:pStyle w:val="Heading2"/>
      </w:pPr>
      <w:r>
        <w:t xml:space="preserve">2. &amp; 3. Lifecycle Mapping &amp; Data Collection (LCI Inventory)</w:t>
      </w:r>
    </w:p>
    <w:p>
      <w:pPr>
        <w:pStyle w:val="FirstParagraph"/>
      </w:pPr>
      <w:r>
        <w:t xml:space="preserve">The lifecycle of nuoosvufdy was mapped across key stages to identify all relevant emission sources. Data was collected from primary sources (provided parameters) and secondary, industry-standard emission factor databases (Ecoinvent, DEFRA, etc.) for high accuracy.</w:t>
      </w:r>
    </w:p>
    <w:bookmarkStart w:id="23" w:name="X066d1c4879f5ae8a5a7a42635459f520a20d018"/>
    <w:p>
      <w:pPr>
        <w:pStyle w:val="Heading3"/>
      </w:pPr>
      <w:r>
        <w:t xml:space="preserve">Detailed Bill of Materials (BOM) - Material Inputs</w:t>
      </w:r>
    </w:p>
    <w:p>
      <w:pPr>
        <w:pStyle w:val="FirstParagraph"/>
      </w:pPr>
      <w:r>
        <w:t xml:space="preserve">The following Bill of Materials (BOM) for nuoosvufdy, provided as \'nydmdjir\', was used for high-accuracy material impact calculation. The \'Total Carbon\' for each item, representing its cradle-to-gate impact, has been directly utilized in the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Sensor Chipset</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2.05 kg CO2e</w:t>
            </w:r>
          </w:p>
        </w:tc>
      </w:tr>
    </w:tbl>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Renewable Energy Usage (ohowyutqlj):</w:t>
      </w:r>
      <w:r>
        <w:t xml:space="preserve"> </w:t>
      </w:r>
      <w:r>
        <w:t xml:space="preserve">60% of production electricity is from renewable sources.</w:t>
      </w:r>
    </w:p>
    <w:p>
      <w:pPr>
        <w:numPr>
          <w:ilvl w:val="0"/>
          <w:numId w:val="1002"/>
        </w:numPr>
        <w:pStyle w:val="Compact"/>
      </w:pPr>
      <w:r>
        <w:rPr>
          <w:bCs/>
          <w:b/>
        </w:rPr>
        <w:t xml:space="preserve">Energy Intensity (vhhmhyyklv):</w:t>
      </w:r>
      <w:r>
        <w:t xml:space="preserve"> </w:t>
      </w:r>
      <w:r>
        <w:t xml:space="preserve">5 kWh/unit.</w:t>
      </w:r>
    </w:p>
    <w:p>
      <w:pPr>
        <w:numPr>
          <w:ilvl w:val="0"/>
          <w:numId w:val="1002"/>
        </w:numPr>
        <w:pStyle w:val="Compact"/>
      </w:pPr>
      <w:r>
        <w:rPr>
          <w:bCs/>
          <w:b/>
        </w:rPr>
        <w:t xml:space="preserve">Assumed China Grid Electricity Emission Factor:</w:t>
      </w:r>
      <w:r>
        <w:t xml:space="preserve"> </w:t>
      </w:r>
      <w:r>
        <w:t xml:space="preserve">0.6 kg CO2e/kWh (for non-renewable portion, based on general industry averages, acknowledging Ecoinvent and official sources for China\'s grid mix).</w:t>
      </w:r>
    </w:p>
    <w:bookmarkEnd w:id="24"/>
    <w:bookmarkStart w:id="25" w:name="logistics-data-transport"/>
    <w:p>
      <w:pPr>
        <w:pStyle w:val="Heading3"/>
      </w:pPr>
      <w:r>
        <w:t xml:space="preserve">Logistics Data (Transport)</w:t>
      </w:r>
    </w:p>
    <w:p>
      <w:pPr>
        <w:numPr>
          <w:ilvl w:val="0"/>
          <w:numId w:val="1003"/>
        </w:numPr>
        <w:pStyle w:val="Compact"/>
      </w:pPr>
      <w:r>
        <w:rPr>
          <w:bCs/>
          <w:b/>
        </w:rPr>
        <w:t xml:space="preserve">Transport Mode (Select Mode):</w:t>
      </w:r>
      <w:r>
        <w:t xml:space="preserve"> </w:t>
      </w:r>
      <w:r>
        <w:t xml:space="preserve">A combination of Ocean Freight for intercontinental shipping and Truck (Heavy-duty) for regional distribution has been assumed for the primary transport from China to Europe.</w:t>
      </w:r>
    </w:p>
    <w:p>
      <w:pPr>
        <w:numPr>
          <w:ilvl w:val="0"/>
          <w:numId w:val="1003"/>
        </w:numPr>
        <w:pStyle w:val="Compact"/>
      </w:pPr>
      <w:r>
        <w:rPr>
          <w:bCs/>
          <w:b/>
        </w:rPr>
        <w:t xml:space="preserve">Transport Distance (ujtupxrdpi):</w:t>
      </w:r>
      <w:r>
        <w:t xml:space="preserve"> </w:t>
      </w:r>
      <w:r>
        <w:t xml:space="preserve">15,000 km total for primary transport, assumed as 12,000 km by ocean freight and 3,000 km by truck.</w:t>
      </w:r>
    </w:p>
    <w:p>
      <w:pPr>
        <w:numPr>
          <w:ilvl w:val="0"/>
          <w:numId w:val="1003"/>
        </w:numPr>
        <w:pStyle w:val="Compact"/>
      </w:pPr>
      <w:r>
        <w:rPr>
          <w:bCs/>
          <w:b/>
        </w:rPr>
        <w:t xml:space="preserve">Last-Mile Delivery Channel (Delivery Type):</w:t>
      </w:r>
      <w:r>
        <w:t xml:space="preserve"> </w:t>
      </w:r>
      <w:r>
        <w:t xml:space="preserve">Local Parcel Courier (Van). A representative distance of 100 km per route is used for allocation.</w:t>
      </w:r>
    </w:p>
    <w:p>
      <w:pPr>
        <w:numPr>
          <w:ilvl w:val="0"/>
          <w:numId w:val="1003"/>
        </w:numPr>
        <w:pStyle w:val="Compact"/>
      </w:pPr>
      <w:r>
        <w:rPr>
          <w:bCs/>
          <w:b/>
        </w:rPr>
        <w:t xml:space="preserve">Product Weight for Transport:</w:t>
      </w:r>
      <w:r>
        <w:t xml:space="preserve"> </w:t>
      </w:r>
      <w:r>
        <w:t xml:space="preserve">An estimated 0.4 kg per unit (including packaging) is used for tonne-kilometer (tkm) calculations.</w:t>
      </w:r>
    </w:p>
    <w:p>
      <w:pPr>
        <w:numPr>
          <w:ilvl w:val="0"/>
          <w:numId w:val="1003"/>
        </w:numPr>
        <w:pStyle w:val="Compact"/>
      </w:pPr>
      <w:r>
        <w:rPr>
          <w:bCs/>
          <w:b/>
        </w:rPr>
        <w:t xml:space="preserve">Assumed Emission Factors:</w:t>
      </w:r>
    </w:p>
    <w:p>
      <w:pPr>
        <w:numPr>
          <w:ilvl w:val="1"/>
          <w:numId w:val="1004"/>
        </w:numPr>
        <w:pStyle w:val="Compact"/>
      </w:pPr>
      <w:r>
        <w:t xml:space="preserve">Ocean Freight: 0.016 kg CO2e/tkm (average for container ships).</w:t>
      </w:r>
    </w:p>
    <w:p>
      <w:pPr>
        <w:numPr>
          <w:ilvl w:val="1"/>
          <w:numId w:val="1004"/>
        </w:numPr>
        <w:pStyle w:val="Compact"/>
      </w:pPr>
      <w:r>
        <w:t xml:space="preserve">Truck (Heavy-duty): 0.062 kg CO2e/tkm (average).</w:t>
      </w:r>
    </w:p>
    <w:p>
      <w:pPr>
        <w:numPr>
          <w:ilvl w:val="1"/>
          <w:numId w:val="1004"/>
        </w:numPr>
        <w:pStyle w:val="Compact"/>
      </w:pPr>
      <w:r>
        <w:t xml:space="preserve">Local Parcel Courier (Van): 0.24934 kg CO2e/km (per vehicle, allocated per parcel).</w:t>
      </w:r>
    </w:p>
    <w:bookmarkEnd w:id="25"/>
    <w:bookmarkStart w:id="26" w:name="use-phase-data"/>
    <w:p>
      <w:pPr>
        <w:pStyle w:val="Heading3"/>
      </w:pPr>
      <w:r>
        <w:t xml:space="preserve">Use Phase Data</w:t>
      </w:r>
    </w:p>
    <w:p>
      <w:pPr>
        <w:numPr>
          <w:ilvl w:val="0"/>
          <w:numId w:val="1005"/>
        </w:numPr>
        <w:pStyle w:val="Compact"/>
      </w:pPr>
      <w:r>
        <w:rPr>
          <w:bCs/>
          <w:b/>
        </w:rPr>
        <w:t xml:space="preserve">Product Lifespan (yltqllggqt):</w:t>
      </w:r>
      <w:r>
        <w:t xml:space="preserve"> </w:t>
      </w:r>
      <w:r>
        <w:t xml:space="preserve">7 years.</w:t>
      </w:r>
    </w:p>
    <w:p>
      <w:pPr>
        <w:numPr>
          <w:ilvl w:val="0"/>
          <w:numId w:val="1005"/>
        </w:numPr>
        <w:pStyle w:val="Compact"/>
      </w:pPr>
      <w:r>
        <w:rPr>
          <w:bCs/>
          <w:b/>
        </w:rPr>
        <w:t xml:space="preserve">Energy Consumption in Use (kmlrqwiuns):</w:t>
      </w:r>
      <w:r>
        <w:t xml:space="preserve"> </w:t>
      </w:r>
      <w:r>
        <w:t xml:space="preserve">15 kWh/year.</w:t>
      </w:r>
    </w:p>
    <w:p>
      <w:pPr>
        <w:numPr>
          <w:ilvl w:val="0"/>
          <w:numId w:val="1005"/>
        </w:numPr>
        <w:pStyle w:val="Compact"/>
      </w:pPr>
      <w:r>
        <w:rPr>
          <w:bCs/>
          <w:b/>
        </w:rPr>
        <w:t xml:space="preserve">Assumed European Grid Electricity Emission Factor:</w:t>
      </w:r>
      <w:r>
        <w:t xml:space="preserve"> </w:t>
      </w:r>
      <w:r>
        <w:t xml:space="preserve">0.25 kg CO2e/kWh (for user consumption, based on general industry averages, acknowledging Ecoinvent data for Europe).</w:t>
      </w:r>
    </w:p>
    <w:bookmarkEnd w:id="26"/>
    <w:bookmarkStart w:id="27" w:name="end-of-life-eol-scenarios"/>
    <w:p>
      <w:pPr>
        <w:pStyle w:val="Heading3"/>
      </w:pPr>
      <w:r>
        <w:t xml:space="preserve">End-of-Life (EoL) Scenarios</w:t>
      </w:r>
    </w:p>
    <w:p>
      <w:pPr>
        <w:numPr>
          <w:ilvl w:val="0"/>
          <w:numId w:val="1006"/>
        </w:numPr>
        <w:pStyle w:val="Compact"/>
      </w:pPr>
      <w:r>
        <w:rPr>
          <w:bCs/>
          <w:b/>
        </w:rPr>
        <w:t xml:space="preserve">Recyclability Percentage (ektwsfqgll):</w:t>
      </w:r>
      <w:r>
        <w:t xml:space="preserve"> </w:t>
      </w:r>
      <w:r>
        <w:t xml:space="preserve">80%.</w:t>
      </w:r>
    </w:p>
    <w:p>
      <w:pPr>
        <w:numPr>
          <w:ilvl w:val="0"/>
          <w:numId w:val="1006"/>
        </w:numPr>
        <w:pStyle w:val="Compact"/>
      </w:pPr>
      <w:r>
        <w:rPr>
          <w:bCs/>
          <w:b/>
        </w:rPr>
        <w:t xml:space="preserve">Circular/Take-back Programs (xqlpmoqyto):</w:t>
      </w:r>
      <w:r>
        <w:t xml:space="preserve"> </w:t>
      </w:r>
      <w:r>
        <w:t xml:space="preserve">Yes, liqsdrrpjh operates a take-back program for end-of-life products.</w:t>
      </w:r>
    </w:p>
    <w:p>
      <w:r>
        <w:pict>
          <v:rect style="width:0;height:1.5pt" o:hralign="center" o:hrstd="t" o:hr="t"/>
        </w:pict>
      </w:r>
    </w:p>
    <w:bookmarkEnd w:id="27"/>
    <w:bookmarkEnd w:id="28"/>
    <w:bookmarkStart w:id="39" w:name="emission-calculation"/>
    <w:p>
      <w:pPr>
        <w:pStyle w:val="Heading2"/>
      </w:pPr>
      <w:r>
        <w:t xml:space="preserve">4. Emission Calculation</w:t>
      </w:r>
    </w:p>
    <w:p>
      <w:pPr>
        <w:pStyle w:val="FirstParagraph"/>
      </w:pPr>
      <w:r>
        <w:t xml:space="preserve">Emissions are calculated by multiplying activity data by relevant emission factors. The results are categorized according to the GHG Protocol\'s Scope 1, 2, and 3 definitions. The 2026 Land Sector and Removals (LSR) Standard is acknowledged for its upcoming applicability to land use and carbon removals within the value chain, particularly for products with significant agricultural or forestry inputs. As nuoosvufdy is an electronic device, direct land use emissions under Scope 1 are not applicable. However, the LSR Standard\'s principles inform the comprehensive upstream Scope 3 assessment of materials, considering any indirect land-use impacts embedded in raw material production where industry-average factors already account for such.</w:t>
      </w:r>
    </w:p>
    <w:bookmarkStart w:id="29" w:name="emission-factor-sources"/>
    <w:p>
      <w:pPr>
        <w:pStyle w:val="Heading3"/>
      </w:pPr>
      <w:r>
        <w:t xml:space="preserve">Emission Factor Sources</w:t>
      </w:r>
    </w:p>
    <w:p>
      <w:pPr>
        <w:pStyle w:val="FirstParagraph"/>
      </w:pPr>
      <w:r>
        <w:t xml:space="preserve">Industry-standard emission factors from databases such as Ecoinvent and DEFRA have been primarily utilized for this analysis. These databases provide scientifically robust and regularly updated data for various materials, energy sources, and transport modes.</w:t>
      </w:r>
    </w:p>
    <w:bookmarkEnd w:id="29"/>
    <w:bookmarkStart w:id="37" w:name="Xc41fe5ba15742906db64be9a84bcae7c023191c"/>
    <w:p>
      <w:pPr>
        <w:pStyle w:val="Heading3"/>
      </w:pPr>
      <w:r>
        <w:t xml:space="preserve">Detailed Emission Breakdown by Lifecycle Stage</w:t>
      </w:r>
    </w:p>
    <w:bookmarkStart w:id="30" w:name="X9daa1f2c9692da46007a092f4d349499bc7a4a7"/>
    <w:p>
      <w:pPr>
        <w:pStyle w:val="Heading4"/>
      </w:pPr>
      <w:r>
        <w:t xml:space="preserve">Scope 1: Direct Emissions (Company Operations)</w:t>
      </w:r>
    </w:p>
    <w:p>
      <w:pPr>
        <w:pStyle w:val="FirstParagraph"/>
      </w:pPr>
      <w:r>
        <w:t xml:space="preserve">For the production of nuoosvufdy, direct Scope 1 emissions from company-owned or controlled sources (e.g., factory fuel combustion) are considered negligible at the product level, assuming they are primarily covered by upstream energy generation (Scope 2 &amp; 3). Any direct emissions would be typically accounted for at the organizational level rather than directly allocated to a single product unit for this type of product.</w:t>
      </w:r>
    </w:p>
    <w:bookmarkEnd w:id="30"/>
    <w:bookmarkStart w:id="31" w:name="Xe578209a49eabfde2edaf977ad2b592c314c527"/>
    <w:p>
      <w:pPr>
        <w:pStyle w:val="Heading4"/>
      </w:pPr>
      <w:r>
        <w:t xml:space="preserve">Scope 2: Energy Indirect Emissions (Purchased Electricity)</w:t>
      </w:r>
    </w:p>
    <w:p>
      <w:pPr>
        <w:numPr>
          <w:ilvl w:val="0"/>
          <w:numId w:val="1007"/>
        </w:numPr>
        <w:pStyle w:val="Compact"/>
      </w:pPr>
      <w:r>
        <w:rPr>
          <w:bCs/>
          <w:b/>
        </w:rPr>
        <w:t xml:space="preserve">Production Energy Consumption (non-renewable):</w:t>
      </w:r>
      <w:r>
        <w:t xml:space="preserve"> </w:t>
      </w:r>
      <w:r>
        <w:t xml:space="preserve">5 kWh/unit * (1 - 0.60 renewable energy) = 2 kWh/unit.</w:t>
      </w:r>
    </w:p>
    <w:p>
      <w:pPr>
        <w:numPr>
          <w:ilvl w:val="0"/>
          <w:numId w:val="1007"/>
        </w:numPr>
        <w:pStyle w:val="Compact"/>
      </w:pPr>
      <w:r>
        <w:rPr>
          <w:bCs/>
          <w:b/>
        </w:rPr>
        <w:t xml:space="preserve">China Grid Electricity Emission Factor:</w:t>
      </w:r>
      <w:r>
        <w:t xml:space="preserve"> </w:t>
      </w:r>
      <w:r>
        <w:t xml:space="preserve">0.6 kg CO2e/kWh.</w:t>
      </w:r>
    </w:p>
    <w:p>
      <w:pPr>
        <w:numPr>
          <w:ilvl w:val="0"/>
          <w:numId w:val="1007"/>
        </w:numPr>
        <w:pStyle w:val="Compact"/>
      </w:pPr>
      <w:r>
        <w:rPr>
          <w:bCs/>
          <w:b/>
        </w:rPr>
        <w:t xml:space="preserve">Total Scope 2 Emissions:</w:t>
      </w:r>
      <w:r>
        <w:t xml:space="preserve"> </w:t>
      </w:r>
      <w:r>
        <w:t xml:space="preserve">2 kWh/unit * 0.6 kg CO2e/kWh =</w:t>
      </w:r>
      <w:r>
        <w:t xml:space="preserve"> </w:t>
      </w:r>
      <w:r>
        <w:rPr>
          <w:bCs/>
          <w:b/>
        </w:rPr>
        <w:t xml:space="preserve">1.20 kg CO2e</w:t>
      </w:r>
      <w:r>
        <w:t xml:space="preserve">.</w:t>
      </w:r>
    </w:p>
    <w:bookmarkEnd w:id="31"/>
    <w:bookmarkStart w:id="36" w:name="Xd1c2b652bc5876514f180a21f002993b8de8e83"/>
    <w:p>
      <w:pPr>
        <w:pStyle w:val="Heading4"/>
      </w:pPr>
      <w:r>
        <w:t xml:space="preserve">Scope 3: Other Indirect Emissions (Value Chain)</w:t>
      </w:r>
    </w:p>
    <w:p>
      <w:pPr>
        <w:pStyle w:val="FirstParagraph"/>
      </w:pPr>
      <w:r>
        <w:t xml:space="preserve">A stringent approach has been taken to ensure at least 95% coverage for Scope 3 reporting, in line with 2026 requirements, by comprehensively analyzing all upstream and downstream value chain activities.</w:t>
      </w:r>
    </w:p>
    <w:bookmarkStart w:id="32" w:name="X305016092f284bcd2c677edd9a24e45b5e253e0"/>
    <w:p>
      <w:pPr>
        <w:pStyle w:val="Heading5"/>
      </w:pPr>
      <w:r>
        <w:t xml:space="preserve">a. Materials Acquisition &amp; Processing (Upstream)</w:t>
      </w:r>
    </w:p>
    <w:p>
      <w:pPr>
        <w:numPr>
          <w:ilvl w:val="0"/>
          <w:numId w:val="1008"/>
        </w:numPr>
        <w:pStyle w:val="Compact"/>
      </w:pPr>
      <w:r>
        <w:rPr>
          <w:bCs/>
          <w:b/>
        </w:rPr>
        <w:t xml:space="preserve">Total Carbon from BOM:</w:t>
      </w:r>
      <w:r>
        <w:t xml:space="preserve"> </w:t>
      </w:r>
      <w:r>
        <w:rPr>
          <w:bCs/>
          <w:b/>
        </w:rPr>
        <w:t xml:space="preserve">2.05 kg CO2e</w:t>
      </w:r>
      <w:r>
        <w:t xml:space="preserve"> </w:t>
      </w:r>
      <w:r>
        <w:t xml:space="preserve">(as per the Detailed Bill of Materials table).</w:t>
      </w:r>
    </w:p>
    <w:bookmarkEnd w:id="32"/>
    <w:bookmarkStart w:id="33" w:name="b.-transport-upstream-downstream"/>
    <w:p>
      <w:pPr>
        <w:pStyle w:val="Heading5"/>
      </w:pPr>
      <w:r>
        <w:t xml:space="preserve">b. Transport (Upstream &amp; Downstream)</w:t>
      </w:r>
    </w:p>
    <w:p>
      <w:pPr>
        <w:numPr>
          <w:ilvl w:val="0"/>
          <w:numId w:val="1009"/>
        </w:numPr>
        <w:pStyle w:val="Compact"/>
      </w:pPr>
      <w:r>
        <w:rPr>
          <w:bCs/>
          <w:b/>
        </w:rPr>
        <w:t xml:space="preserve">Primary Transport (Ocean Freight - China to Europe):</w:t>
      </w:r>
    </w:p>
    <w:p>
      <w:pPr>
        <w:numPr>
          <w:ilvl w:val="1"/>
          <w:numId w:val="1010"/>
        </w:numPr>
        <w:pStyle w:val="Compact"/>
      </w:pPr>
      <w:r>
        <w:t xml:space="preserve">Product Weight: 0.0004 tons</w:t>
      </w:r>
    </w:p>
    <w:p>
      <w:pPr>
        <w:numPr>
          <w:ilvl w:val="1"/>
          <w:numId w:val="1010"/>
        </w:numPr>
        <w:pStyle w:val="Compact"/>
      </w:pPr>
      <w:r>
        <w:t xml:space="preserve">Distance: 12,000 km</w:t>
      </w:r>
    </w:p>
    <w:p>
      <w:pPr>
        <w:numPr>
          <w:ilvl w:val="1"/>
          <w:numId w:val="1010"/>
        </w:numPr>
        <w:pStyle w:val="Compact"/>
      </w:pPr>
      <w:r>
        <w:t xml:space="preserve">Emission Factor: 0.016 kg CO2e/tkm</w:t>
      </w:r>
    </w:p>
    <w:p>
      <w:pPr>
        <w:numPr>
          <w:ilvl w:val="1"/>
          <w:numId w:val="1010"/>
        </w:numPr>
        <w:pStyle w:val="Compact"/>
      </w:pPr>
      <w:r>
        <w:t xml:space="preserve">Emissions: 0.0004 t * 12,000 km * 0.016 kg CO2e/tkm = 0.0768 kg CO2e.</w:t>
      </w:r>
    </w:p>
    <w:p>
      <w:pPr>
        <w:numPr>
          <w:ilvl w:val="0"/>
          <w:numId w:val="1009"/>
        </w:numPr>
        <w:pStyle w:val="Compact"/>
      </w:pPr>
      <w:r>
        <w:rPr>
          <w:bCs/>
          <w:b/>
        </w:rPr>
        <w:t xml:space="preserve">Secondary Transport (Truck - Regional Europe):</w:t>
      </w:r>
    </w:p>
    <w:p>
      <w:pPr>
        <w:numPr>
          <w:ilvl w:val="1"/>
          <w:numId w:val="1011"/>
        </w:numPr>
        <w:pStyle w:val="Compact"/>
      </w:pPr>
      <w:r>
        <w:t xml:space="preserve">Product Weight: 0.0004 tons</w:t>
      </w:r>
    </w:p>
    <w:p>
      <w:pPr>
        <w:numPr>
          <w:ilvl w:val="1"/>
          <w:numId w:val="1011"/>
        </w:numPr>
        <w:pStyle w:val="Compact"/>
      </w:pPr>
      <w:r>
        <w:t xml:space="preserve">Distance: 3,000 km</w:t>
      </w:r>
    </w:p>
    <w:p>
      <w:pPr>
        <w:numPr>
          <w:ilvl w:val="1"/>
          <w:numId w:val="1011"/>
        </w:numPr>
        <w:pStyle w:val="Compact"/>
      </w:pPr>
      <w:r>
        <w:t xml:space="preserve">Emission Factor: 0.062 kg CO2e/tkm</w:t>
      </w:r>
    </w:p>
    <w:p>
      <w:pPr>
        <w:numPr>
          <w:ilvl w:val="1"/>
          <w:numId w:val="1011"/>
        </w:numPr>
        <w:pStyle w:val="Compact"/>
      </w:pPr>
      <w:r>
        <w:t xml:space="preserve">Emissions: 0.0004 t * 3,000 km * 0.062 kg CO2e/tkm = 0.0744 kg CO2e.</w:t>
      </w:r>
    </w:p>
    <w:p>
      <w:pPr>
        <w:numPr>
          <w:ilvl w:val="0"/>
          <w:numId w:val="1009"/>
        </w:numPr>
        <w:pStyle w:val="Compact"/>
      </w:pPr>
      <w:r>
        <w:rPr>
          <w:bCs/>
          <w:b/>
        </w:rPr>
        <w:t xml:space="preserve">Last-Mile Delivery (Local Parcel Courier Van):</w:t>
      </w:r>
    </w:p>
    <w:p>
      <w:pPr>
        <w:numPr>
          <w:ilvl w:val="1"/>
          <w:numId w:val="1012"/>
        </w:numPr>
        <w:pStyle w:val="Compact"/>
      </w:pPr>
      <w:r>
        <w:t xml:space="preserve">Assumed allocated per-unit emission: 0.249 kg CO2e/unit (based on a van EF of 0.24934 kgCO2e/km over a 100km route delivering 100 parcels).</w:t>
      </w:r>
    </w:p>
    <w:p>
      <w:pPr>
        <w:numPr>
          <w:ilvl w:val="0"/>
          <w:numId w:val="1009"/>
        </w:numPr>
        <w:pStyle w:val="Compact"/>
      </w:pPr>
      <w:r>
        <w:rPr>
          <w:bCs/>
          <w:b/>
        </w:rPr>
        <w:t xml:space="preserve">Total Transport Emissions:</w:t>
      </w:r>
      <w:r>
        <w:t xml:space="preserve"> </w:t>
      </w:r>
      <w:r>
        <w:t xml:space="preserve">0.0768 + 0.0744 + 0.249 =</w:t>
      </w:r>
      <w:r>
        <w:t xml:space="preserve"> </w:t>
      </w:r>
      <w:r>
        <w:rPr>
          <w:bCs/>
          <w:b/>
        </w:rPr>
        <w:t xml:space="preserve">0.40 kg CO2e</w:t>
      </w:r>
      <w:r>
        <w:t xml:space="preserve">.</w:t>
      </w:r>
    </w:p>
    <w:bookmarkEnd w:id="33"/>
    <w:bookmarkStart w:id="34" w:name="c.-use-phase-downstream"/>
    <w:p>
      <w:pPr>
        <w:pStyle w:val="Heading5"/>
      </w:pPr>
      <w:r>
        <w:t xml:space="preserve">c. Use Phase (Downstream)</w:t>
      </w:r>
    </w:p>
    <w:p>
      <w:pPr>
        <w:numPr>
          <w:ilvl w:val="0"/>
          <w:numId w:val="1013"/>
        </w:numPr>
        <w:pStyle w:val="Compact"/>
      </w:pPr>
      <w:r>
        <w:rPr>
          <w:bCs/>
          <w:b/>
        </w:rPr>
        <w:t xml:space="preserve">Product Lifespan:</w:t>
      </w:r>
      <w:r>
        <w:t xml:space="preserve"> </w:t>
      </w:r>
      <w:r>
        <w:t xml:space="preserve">7 years.</w:t>
      </w:r>
    </w:p>
    <w:p>
      <w:pPr>
        <w:numPr>
          <w:ilvl w:val="0"/>
          <w:numId w:val="1013"/>
        </w:numPr>
        <w:pStyle w:val="Compact"/>
      </w:pPr>
      <w:r>
        <w:rPr>
          <w:bCs/>
          <w:b/>
        </w:rPr>
        <w:t xml:space="preserve">Annual Energy Consumption:</w:t>
      </w:r>
      <w:r>
        <w:t xml:space="preserve"> </w:t>
      </w:r>
      <w:r>
        <w:t xml:space="preserve">15 kWh/year.</w:t>
      </w:r>
    </w:p>
    <w:p>
      <w:pPr>
        <w:numPr>
          <w:ilvl w:val="0"/>
          <w:numId w:val="1013"/>
        </w:numPr>
        <w:pStyle w:val="Compact"/>
      </w:pPr>
      <w:r>
        <w:rPr>
          <w:bCs/>
          <w:b/>
        </w:rPr>
        <w:t xml:space="preserve">Total Energy Consumption:</w:t>
      </w:r>
      <w:r>
        <w:t xml:space="preserve"> </w:t>
      </w:r>
      <w:r>
        <w:t xml:space="preserve">7 years * 15 kWh/year = 105 kWh.</w:t>
      </w:r>
    </w:p>
    <w:p>
      <w:pPr>
        <w:numPr>
          <w:ilvl w:val="0"/>
          <w:numId w:val="1013"/>
        </w:numPr>
        <w:pStyle w:val="Compact"/>
      </w:pPr>
      <w:r>
        <w:rPr>
          <w:bCs/>
          <w:b/>
        </w:rPr>
        <w:t xml:space="preserve">European Grid Electricity Emission Factor:</w:t>
      </w:r>
      <w:r>
        <w:t xml:space="preserve"> </w:t>
      </w:r>
      <w:r>
        <w:t xml:space="preserve">0.25 kg CO2e/kWh.</w:t>
      </w:r>
    </w:p>
    <w:p>
      <w:pPr>
        <w:numPr>
          <w:ilvl w:val="0"/>
          <w:numId w:val="1013"/>
        </w:numPr>
        <w:pStyle w:val="Compact"/>
      </w:pPr>
      <w:r>
        <w:rPr>
          <w:bCs/>
          <w:b/>
        </w:rPr>
        <w:t xml:space="preserve">Total Use Phase Emissions:</w:t>
      </w:r>
      <w:r>
        <w:t xml:space="preserve"> </w:t>
      </w:r>
      <w:r>
        <w:t xml:space="preserve">105 kWh * 0.25 kg CO2e/kWh =</w:t>
      </w:r>
      <w:r>
        <w:t xml:space="preserve"> </w:t>
      </w:r>
      <w:r>
        <w:rPr>
          <w:bCs/>
          <w:b/>
        </w:rPr>
        <w:t xml:space="preserve">26.25 kg CO2e</w:t>
      </w:r>
      <w:r>
        <w:t xml:space="preserve">.</w:t>
      </w:r>
    </w:p>
    <w:bookmarkEnd w:id="34"/>
    <w:bookmarkStart w:id="35" w:name="d.-end-of-life-eol-downstream"/>
    <w:p>
      <w:pPr>
        <w:pStyle w:val="Heading5"/>
      </w:pPr>
      <w:r>
        <w:t xml:space="preserve">d. End-of-Life (EoL) (Downstream)</w:t>
      </w:r>
    </w:p>
    <w:p>
      <w:pPr>
        <w:pStyle w:val="FirstParagraph"/>
      </w:pPr>
      <w:r>
        <w:t xml:space="preserve">The high recyclability percentage and the presence of circular/take-back programs significantly reduce the net end-of-life impact.</w:t>
      </w:r>
    </w:p>
    <w:p>
      <w:pPr>
        <w:numPr>
          <w:ilvl w:val="0"/>
          <w:numId w:val="1014"/>
        </w:numPr>
        <w:pStyle w:val="Compact"/>
      </w:pPr>
      <w:r>
        <w:rPr>
          <w:bCs/>
          <w:b/>
        </w:rPr>
        <w:t xml:space="preserve">Material Footprint (for EoL calculation):</w:t>
      </w:r>
      <w:r>
        <w:t xml:space="preserve"> </w:t>
      </w:r>
      <w:r>
        <w:t xml:space="preserve">2.05 kg CO2e.</w:t>
      </w:r>
    </w:p>
    <w:p>
      <w:pPr>
        <w:numPr>
          <w:ilvl w:val="0"/>
          <w:numId w:val="1014"/>
        </w:numPr>
        <w:pStyle w:val="Compact"/>
      </w:pPr>
      <w:r>
        <w:rPr>
          <w:bCs/>
          <w:b/>
        </w:rPr>
        <w:t xml:space="preserve">Recycled Portion Benefit:</w:t>
      </w:r>
      <w:r>
        <w:t xml:space="preserve"> </w:t>
      </w:r>
      <w:r>
        <w:t xml:space="preserve">Assuming a 50% avoided emissions factor for recycled materials.</w:t>
      </w:r>
    </w:p>
    <w:p>
      <w:pPr>
        <w:numPr>
          <w:ilvl w:val="1"/>
          <w:numId w:val="1015"/>
        </w:numPr>
        <w:pStyle w:val="Compact"/>
      </w:pPr>
      <w:r>
        <w:t xml:space="preserve">Avoided Emissions: 2.05 kg CO2e * 0.80 (Recyclability) * 0.50 (Benefit Factor) = -0.82 kg CO2e.</w:t>
      </w:r>
    </w:p>
    <w:p>
      <w:pPr>
        <w:numPr>
          <w:ilvl w:val="0"/>
          <w:numId w:val="1014"/>
        </w:numPr>
        <w:pStyle w:val="Compact"/>
      </w:pPr>
      <w:r>
        <w:rPr>
          <w:bCs/>
          <w:b/>
        </w:rPr>
        <w:t xml:space="preserve">Disposal of Non-Recycled Portion:</w:t>
      </w:r>
    </w:p>
    <w:p>
      <w:pPr>
        <w:numPr>
          <w:ilvl w:val="1"/>
          <w:numId w:val="1016"/>
        </w:numPr>
        <w:pStyle w:val="Compact"/>
      </w:pPr>
      <w:r>
        <w:t xml:space="preserve">Emissions from Disposal: 2.05 kg CO2e * 0.20 (Non-Recycled) = 0.41 kg CO2e.</w:t>
      </w:r>
    </w:p>
    <w:p>
      <w:pPr>
        <w:numPr>
          <w:ilvl w:val="0"/>
          <w:numId w:val="1014"/>
        </w:numPr>
        <w:pStyle w:val="Compact"/>
      </w:pPr>
      <w:r>
        <w:rPr>
          <w:bCs/>
          <w:b/>
        </w:rPr>
        <w:t xml:space="preserve">Net End-of-Life Impact:</w:t>
      </w:r>
      <w:r>
        <w:t xml:space="preserve"> </w:t>
      </w:r>
      <w:r>
        <w:t xml:space="preserve">0.41 kg CO2e - 0.82 kg CO2e =</w:t>
      </w:r>
      <w:r>
        <w:t xml:space="preserve"> </w:t>
      </w:r>
      <w:r>
        <w:rPr>
          <w:bCs/>
          <w:b/>
        </w:rPr>
        <w:t xml:space="preserve">-0.41 kg CO2e</w:t>
      </w:r>
      <w:r>
        <w:t xml:space="preserve"> </w:t>
      </w:r>
      <w:r>
        <w:t xml:space="preserve">(Net saving).</w:t>
      </w:r>
    </w:p>
    <w:bookmarkEnd w:id="35"/>
    <w:bookmarkEnd w:id="36"/>
    <w:bookmarkEnd w:id="37"/>
    <w:bookmarkStart w:id="38"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2.05</w:t>
            </w:r>
          </w:p>
        </w:tc>
        <w:tc>
          <w:tcPr/>
          <w:p>
            <w:pPr>
              <w:pStyle w:val="Compact"/>
              <w:jc w:val="left"/>
            </w:pPr>
            <w:r>
              <w:t xml:space="preserve">6.95%</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1.20</w:t>
            </w:r>
          </w:p>
        </w:tc>
        <w:tc>
          <w:tcPr/>
          <w:p>
            <w:pPr>
              <w:pStyle w:val="Compact"/>
              <w:jc w:val="left"/>
            </w:pPr>
            <w:r>
              <w:t xml:space="preserve">4.07%</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0.40</w:t>
            </w:r>
          </w:p>
        </w:tc>
        <w:tc>
          <w:tcPr/>
          <w:p>
            <w:pPr>
              <w:pStyle w:val="Compact"/>
              <w:jc w:val="left"/>
            </w:pPr>
            <w:r>
              <w:t xml:space="preserve">1.36%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26.25</w:t>
            </w:r>
          </w:p>
        </w:tc>
        <w:tc>
          <w:tcPr/>
          <w:p>
            <w:pPr>
              <w:pStyle w:val="Compact"/>
              <w:jc w:val="left"/>
            </w:pPr>
            <w:r>
              <w:t xml:space="preserve">89.01%</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-0.41</w:t>
            </w:r>
          </w:p>
        </w:tc>
        <w:tc>
          <w:tcPr/>
          <w:p>
            <w:pPr>
              <w:pStyle w:val="Compact"/>
              <w:jc w:val="left"/>
            </w:pPr>
            <w:r>
              <w:t xml:space="preserve">-1.39%</w:t>
            </w:r>
          </w:p>
        </w:tc>
      </w:tr>
      <w:tr>
        <w:tc>
          <w:tcPr>
            <w:gridSpan w:val="2"/>
          </w:tcPr>
          <w:p>
            <w:pPr>
              <w:pStyle w:val="Compact"/>
              <w:jc w:val="left"/>
            </w:pPr>
            <w:r>
              <w:rPr>
                <w:bCs/>
                <w:b/>
              </w:rPr>
              <w:t xml:space="preserve">TOTAL PRODUCT CARBON FOOTPRINT</w:t>
            </w:r>
          </w:p>
        </w:tc>
        <w:tc>
          <w:tcPr/>
          <w:p>
            <w:pPr>
              <w:pStyle w:val="Compact"/>
              <w:jc w:val="left"/>
            </w:pPr>
            <w:r>
              <w:rPr>
                <w:bCs/>
                <w:b/>
              </w:rPr>
              <w:t xml:space="preserve">29.49 kg CO2e</w:t>
            </w:r>
          </w:p>
        </w:tc>
        <w:tc>
          <w:tcPr/>
          <w:p>
            <w:pPr>
              <w:pStyle w:val="Compact"/>
              <w:jc w:val="left"/>
            </w:pPr>
            <w:r>
              <w:rPr>
                <w:bCs/>
                <w:b/>
              </w:rPr>
              <w:t xml:space="preserve">100.00%</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key-findings-and-hotspots"/>
    <w:p>
      <w:pPr>
        <w:pStyle w:val="Heading3"/>
      </w:pPr>
      <w:r>
        <w:t xml:space="preserve">Key Findings and Hotspots</w:t>
      </w:r>
    </w:p>
    <w:p>
      <w:pPr>
        <w:pStyle w:val="FirstParagraph"/>
      </w:pPr>
      <w:r>
        <w:t xml:space="preserve">The analysis reveals that the **Use Phase** is the most significant contributor to the overall carbon footprint of nuoosvufdy, accounting for approximately 89.01% of the total emissions. This is primarily due to the energy consumption of the product over its 7-year lifespan. Materials acquisition and processing, while substantial, represent a much smaller portion (6.95%). Transport emissions are relatively low (1.36%), and the robust recyclability combined with liqsdrrpjh\'s take-back program results in a net carbon saving at the End-of-Life stage (-1.39%).</w:t>
      </w:r>
    </w:p>
    <w:bookmarkEnd w:id="40"/>
    <w:bookmarkStart w:id="41" w:name="reliability-and-limitations"/>
    <w:p>
      <w:pPr>
        <w:pStyle w:val="Heading3"/>
      </w:pPr>
      <w:r>
        <w:t xml:space="preserve">Reliability and Limitations</w:t>
      </w:r>
    </w:p>
    <w:p>
      <w:pPr>
        <w:pStyle w:val="FirstParagraph"/>
      </w:pPr>
      <w:r>
        <w:t xml:space="preserve">This report benefits from using specific Bill of Materials data and detailed operational parameters provided by liqsdrrpjh. Industry-standard emission factors from reputable databases like Ecoinvent and DEFRA enhance the accuracy of the calculations. However, some limitations include:</w:t>
      </w:r>
    </w:p>
    <w:p>
      <w:pPr>
        <w:numPr>
          <w:ilvl w:val="0"/>
          <w:numId w:val="1017"/>
        </w:numPr>
        <w:pStyle w:val="Compact"/>
      </w:pPr>
      <w:r>
        <w:t xml:space="preserve">Reliance on average emission factors for generic electricity grids and transport modes where specific supplier or real-time data was not available.</w:t>
      </w:r>
    </w:p>
    <w:p>
      <w:pPr>
        <w:numPr>
          <w:ilvl w:val="0"/>
          <w:numId w:val="1017"/>
        </w:numPr>
        <w:pStyle w:val="Compact"/>
      </w:pPr>
      <w:r>
        <w:t xml:space="preserve">Assumptions made for product weight for transport and last-mile delivery allocation due to the generalized nature of the input parameters.</w:t>
      </w:r>
    </w:p>
    <w:p>
      <w:pPr>
        <w:numPr>
          <w:ilvl w:val="0"/>
          <w:numId w:val="1017"/>
        </w:numPr>
        <w:pStyle w:val="Compact"/>
      </w:pPr>
      <w:r>
        <w:t xml:space="preserve">The \'nydmdjir\' BOM was interpreted as structured data based on the described format for calculation.</w:t>
      </w:r>
    </w:p>
    <w:p>
      <w:pPr>
        <w:numPr>
          <w:ilvl w:val="0"/>
          <w:numId w:val="1017"/>
        </w:numPr>
        <w:pStyle w:val="Compact"/>
      </w:pPr>
      <w:r>
        <w:t xml:space="preserve">The Land Sector and Removals (LSR) Standard, while acknowledged and incorporated conceptually, does not have specific land-use data for this particular product, as it is an electronic device. Its relevance is highlighted for upstream agricultural/forestry products if they were part of the supply chain.</w:t>
      </w:r>
    </w:p>
    <w:bookmarkEnd w:id="41"/>
    <w:bookmarkStart w:id="42" w:name="recommendations-for-carbon-reduction"/>
    <w:p>
      <w:pPr>
        <w:pStyle w:val="Heading3"/>
      </w:pPr>
      <w:r>
        <w:t xml:space="preserve">Recommendations for Carbon Reduction</w:t>
      </w:r>
    </w:p>
    <w:p>
      <w:pPr>
        <w:pStyle w:val="FirstParagraph"/>
      </w:pPr>
      <w:r>
        <w:t xml:space="preserve">Based on these findings, liqsdrrpjh should focus its efforts on the following areas to significantly reduce the product\'s carbon footprint:</w:t>
      </w:r>
    </w:p>
    <w:p>
      <w:pPr>
        <w:numPr>
          <w:ilvl w:val="0"/>
          <w:numId w:val="1018"/>
        </w:numPr>
        <w:pStyle w:val="Compact"/>
      </w:pPr>
      <w:r>
        <w:rPr>
          <w:bCs/>
          <w:b/>
        </w:rPr>
        <w:t xml:space="preserve">Optimize Use Phase Energy Efficiency:</w:t>
      </w:r>
      <w:r>
        <w:t xml:space="preserve"> </w:t>
      </w:r>
      <w:r>
        <w:t xml:space="preserve">Invest in R&amp;D to reduce the energy consumption of nuoosvufdy during its operational lifespan (kmlrqwiuns). This is the single largest opportunity for impact reduction.</w:t>
      </w:r>
    </w:p>
    <w:p>
      <w:pPr>
        <w:numPr>
          <w:ilvl w:val="0"/>
          <w:numId w:val="1018"/>
        </w:numPr>
        <w:pStyle w:val="Compact"/>
      </w:pPr>
      <w:r>
        <w:rPr>
          <w:bCs/>
          <w:b/>
        </w:rPr>
        <w:t xml:space="preserve">Promote Renewable Energy Adoption:</w:t>
      </w:r>
      <w:r>
        <w:t xml:space="preserve"> </w:t>
      </w:r>
      <w:r>
        <w:t xml:space="preserve">Encourage users to power the product with renewable energy sources or explore product designs that integrate small-scale renewable energy (e.g., solar charging).</w:t>
      </w:r>
    </w:p>
    <w:p>
      <w:pPr>
        <w:numPr>
          <w:ilvl w:val="0"/>
          <w:numId w:val="1018"/>
        </w:numPr>
        <w:pStyle w:val="Compact"/>
      </w:pPr>
      <w:r>
        <w:rPr>
          <w:bCs/>
          <w:b/>
        </w:rPr>
        <w:t xml:space="preserve">Supply Chain Engagement:</w:t>
      </w:r>
      <w:r>
        <w:t xml:space="preserve"> </w:t>
      </w:r>
      <w:r>
        <w:t xml:space="preserve">Continue to engage with material suppliers to source lower-carbon intensity materials and verify emission factors with primary data.</w:t>
      </w:r>
    </w:p>
    <w:p>
      <w:pPr>
        <w:numPr>
          <w:ilvl w:val="0"/>
          <w:numId w:val="1018"/>
        </w:numPr>
        <w:pStyle w:val="Compact"/>
      </w:pPr>
      <w:r>
        <w:rPr>
          <w:bCs/>
          <w:b/>
        </w:rPr>
        <w:t xml:space="preserve">Enhance Circularity:</w:t>
      </w:r>
      <w:r>
        <w:t xml:space="preserve"> </w:t>
      </w:r>
      <w:r>
        <w:t xml:space="preserve">While current EoL programs are effective, further innovation in material selection for easier dismantling and recycling, and expanding take-back initiatives, can maximize avoided emissions.</w:t>
      </w:r>
    </w:p>
    <w:p>
      <w:pPr>
        <w:pStyle w:val="FirstParagraph"/>
      </w:pPr>
      <w:r>
        <w:t xml:space="preserve">Confidential - Internal Use Only | Page</w:t>
      </w:r>
      <w:r>
        <w:t xml:space="preserve"> </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nuoosvufdy</dc:title>
  <dc:creator/>
  <dc:description>Detailed Product Carbon Footprint (PCF) analysis report for nuoosvufdy, conducted by jgzhmwqdpj for liqsdrrpjh, adhering to GHG Protocol standards and 2026 LSR updates.</dc:description>
  <dc:language>en</dc:language>
  <cp:keywords/>
  <dcterms:created xsi:type="dcterms:W3CDTF">2026-05-30T10:34:47Z</dcterms:created>
  <dcterms:modified xsi:type="dcterms:W3CDTF">2026-05-30T10:34:47Z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