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ntnjsjsyuw</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ntnjsjsyuw"/>
    <w:p>
      <w:pPr>
        <w:pStyle w:val="Heading1"/>
      </w:pPr>
      <w:r>
        <w:t xml:space="preserve">for ntnjsjsyuw</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kuqkglmkmx</w:t>
      </w:r>
    </w:p>
    <w:p>
      <w:pPr>
        <w:pStyle w:val="BodyText"/>
      </w:pPr>
      <w:r>
        <w:rPr>
          <w:bCs/>
          <w:b/>
        </w:rPr>
        <w:t xml:space="preserve">Senior Sustainability Consultant:</w:t>
      </w:r>
      <w:r>
        <w:t xml:space="preserve"> </w:t>
      </w:r>
      <w:r>
        <w:t xml:space="preserve">ydfgzfwzte</w:t>
      </w:r>
    </w:p>
    <w:p>
      <w:pPr>
        <w:pStyle w:val="BodyText"/>
      </w:pPr>
      <w:r>
        <w:t xml:space="preserve">This report is generated based on available data and industry standards. While efforts have been made to ensure accuracy, the quantitative results are illustrative and depend on the quality and completeness of the input parameters.</w:t>
      </w:r>
    </w:p>
    <w:bookmarkEnd w:id="21"/>
    <w:bookmarkStart w:id="23" w:name="X10b9d1a2b1dbb700af67ad4bced01948ee4d526"/>
    <w:p>
      <w:pPr>
        <w:pStyle w:val="Heading1"/>
      </w:pPr>
      <w:r>
        <w:t xml:space="preserve">Product Carbon Footprint Report for ntnjsjsyuw</w:t>
      </w:r>
    </w:p>
    <w:bookmarkStart w:id="22" w:name="generated-date-may-26-2026"/>
    <w:p>
      <w:pPr>
        <w:pStyle w:val="Heading3"/>
      </w:pPr>
      <w:r>
        <w:t xml:space="preserve">Generated Date: May 26, 2026</w:t>
      </w:r>
    </w:p>
    <w:p>
      <w:r>
        <w:pict>
          <v:rect style="width:0;height:1.5pt" o:hralign="center" o:hrstd="t" o:hr="t"/>
        </w:pict>
      </w:r>
    </w:p>
    <w:bookmarkEnd w:id="22"/>
    <w:bookmarkEnd w:id="23"/>
    <w:bookmarkStart w:id="24"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ntnjsjsyuw</w:t>
      </w:r>
      <w:r>
        <w:t xml:space="preserve">, produced by</w:t>
      </w:r>
      <w:r>
        <w:t xml:space="preserve"> </w:t>
      </w:r>
      <w:r>
        <w:rPr>
          <w:bCs/>
          <w:b/>
        </w:rPr>
        <w:t xml:space="preserve">kuqkglmkmx</w:t>
      </w:r>
      <w:r>
        <w:t xml:space="preserve">. The analysis, conducted by Senior Sustainability Consultant</w:t>
      </w:r>
      <w:r>
        <w:t xml:space="preserve"> </w:t>
      </w:r>
      <w:r>
        <w:rPr>
          <w:bCs/>
          <w:b/>
        </w:rPr>
        <w:t xml:space="preserve">ydfgzfwzte</w:t>
      </w:r>
      <w:r>
        <w:t xml:space="preserve">, adheres to the GHG Protocol Product Life Cycle Accounting and Reporting Standard. The functional unit for this study is 1.0 unit of ntnjsjsyuw, with a system boundary defined as \'factory_gate\' for core production, expanded to include use phase and end-of-life impacts to reflect a comprehensive lifecycle. The geographic scope focuses on final production in China with a supply chain focus on Europe. Illustrative data has been used for specific parameters where placeholder values were provided, ensuring the demonstration of a robust methodology. The total estimated Product Carbon Footprint for one unit of ntnjsjsyuw is approximately 23.087 kg CO2e, with the use phase identified as the primary hotspot.</w:t>
      </w:r>
    </w:p>
    <w:bookmarkEnd w:id="24"/>
    <w:p>
      <w:r>
        <w:pict>
          <v:rect style="width:0;height:1.5pt" o:hralign="center" o:hrstd="t" o:hr="t"/>
        </w:pict>
      </w:r>
    </w:p>
    <w:bookmarkStart w:id="28" w:name="methodology"/>
    <w:bookmarkStart w:id="27" w:name="methodology-and-approach"/>
    <w:p>
      <w:pPr>
        <w:pStyle w:val="Heading2"/>
      </w:pPr>
      <w:r>
        <w:t xml:space="preserve">2. Methodology and Approach</w:t>
      </w:r>
    </w:p>
    <w:p>
      <w:pPr>
        <w:pStyle w:val="FirstParagraph"/>
      </w:pPr>
      <w:r>
        <w:t xml:space="preserve">This Product Carbon Footprint (PCF) analysis is conducted in accordance with the</w:t>
      </w:r>
      <w:r>
        <w:t xml:space="preserve"> </w:t>
      </w:r>
      <w:r>
        <w:rPr>
          <w:bCs/>
          <w:b/>
        </w:rPr>
        <w:t xml:space="preserve">GHG Protocol Product Life Cycle Accounting and Reporting Standard</w:t>
      </w:r>
      <w:r>
        <w:t xml:space="preserve">. The methodology follows a five-step process: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Emissions are categorized into Scope 1 (direct), Scope 2 (purchased energy), and Scope 3 (value chain) to align with GHG Protocol requirements. The 2026 Land Sector and Removals (LSR) Standard is acknowledged, and Scope 3 compliance aims for at least 95% coverage, reflecting current best practices.</w:t>
      </w:r>
    </w:p>
    <w:bookmarkStart w:id="25" w:name="step-1-define-scope"/>
    <w:p>
      <w:pPr>
        <w:pStyle w:val="Heading3"/>
      </w:pPr>
      <w:r>
        <w:t xml:space="preserve">2.1. Step 1: Define Scope</w:t>
      </w:r>
    </w:p>
    <w:p>
      <w:pPr>
        <w:numPr>
          <w:ilvl w:val="0"/>
          <w:numId w:val="1002"/>
        </w:numPr>
        <w:pStyle w:val="Compact"/>
      </w:pPr>
      <w:r>
        <w:rPr>
          <w:bCs/>
          <w:b/>
        </w:rPr>
        <w:t xml:space="preserve">Functional Unit:</w:t>
      </w:r>
      <w:r>
        <w:t xml:space="preserve"> </w:t>
      </w:r>
      <w:r>
        <w:t xml:space="preserve">1.0 unit of ntnjsjsyuw. The functional unit serves as a reference to which all inputs and outputs are related, allowing for comparability of product systems.</w:t>
      </w:r>
    </w:p>
    <w:p>
      <w:pPr>
        <w:numPr>
          <w:ilvl w:val="0"/>
          <w:numId w:val="1002"/>
        </w:numPr>
        <w:pStyle w:val="Compact"/>
      </w:pPr>
      <w:r>
        <w:rPr>
          <w:bCs/>
          <w:b/>
        </w:rPr>
        <w:t xml:space="preserve">System Boundary:</w:t>
      </w:r>
      <w:r>
        <w:t xml:space="preserve"> </w:t>
      </w:r>
      <w:r>
        <w:t xml:space="preserve">Cradle-to-grave analysis, with the primary reporting boundary for manufacturing set at \'factory_gate\'. This covers raw material extraction, manufacturing, transportation, the product\'s use phase, and its end-of-life treatment. This comprehensive approach ensures all significant impacts are captured.</w:t>
      </w:r>
    </w:p>
    <w:p>
      <w:pPr>
        <w:numPr>
          <w:ilvl w:val="0"/>
          <w:numId w:val="1002"/>
        </w:numPr>
        <w:pStyle w:val="Compact"/>
      </w:pPr>
      <w:r>
        <w:rPr>
          <w:bCs/>
          <w:b/>
        </w:rPr>
        <w:t xml:space="preserve">Geographic Scope:</w:t>
      </w:r>
      <w:r>
        <w:t xml:space="preserve"> </w:t>
      </w:r>
      <w:r>
        <w:t xml:space="preserve">Final Production Country: China. Supply Chain Focus: Europe Focused (for upstream and downstream logistics implications).</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Mass-based allocation is applied where co-products or by-products are present, ensuring fair distribution of environmental burdens.</w:t>
      </w:r>
    </w:p>
    <w:bookmarkEnd w:id="25"/>
    <w:bookmarkStart w:id="26" w:name="Xef2cad8b6715bfd9664e6ec6d96ac44c4a46fb4"/>
    <w:p>
      <w:pPr>
        <w:pStyle w:val="Heading3"/>
      </w:pPr>
      <w:r>
        <w:t xml:space="preserve">2.2. Step 2: Map Lifecycle (LCI Inventory Stages)</w:t>
      </w:r>
    </w:p>
    <w:p>
      <w:pPr>
        <w:pStyle w:val="FirstParagraph"/>
      </w:pPr>
      <w:r>
        <w:t xml:space="preserve">The lifecycle of ntnjsjsyuw has been mapped to identify all relevant stages contributing to its carbon footprint:</w:t>
      </w:r>
    </w:p>
    <w:p>
      <w:pPr>
        <w:numPr>
          <w:ilvl w:val="0"/>
          <w:numId w:val="1003"/>
        </w:numPr>
        <w:pStyle w:val="Compact"/>
      </w:pPr>
      <w:r>
        <w:rPr>
          <w:bCs/>
          <w:b/>
        </w:rPr>
        <w:t xml:space="preserve">Raw Material Acquisition &amp; Pre-processing (Scope 3 - Upstream):</w:t>
      </w:r>
      <w:r>
        <w:t xml:space="preserve"> </w:t>
      </w:r>
      <w:r>
        <w:t xml:space="preserve">Extraction, processing, and initial manufacturing of all materials listed in the Bill of Materials (BOM).</w:t>
      </w:r>
    </w:p>
    <w:p>
      <w:pPr>
        <w:numPr>
          <w:ilvl w:val="0"/>
          <w:numId w:val="1003"/>
        </w:numPr>
        <w:pStyle w:val="Compact"/>
      </w:pPr>
      <w:r>
        <w:rPr>
          <w:bCs/>
          <w:b/>
        </w:rPr>
        <w:t xml:space="preserve">Manufacturing (Scope 1, Scope 2):</w:t>
      </w:r>
      <w:r>
        <w:t xml:space="preserve"> </w:t>
      </w:r>
      <w:r>
        <w:t xml:space="preserve">Energy consumption and direct emissions from the assembly and production processes at the kuqkglmkmx facility in China.</w:t>
      </w:r>
    </w:p>
    <w:p>
      <w:pPr>
        <w:numPr>
          <w:ilvl w:val="0"/>
          <w:numId w:val="1003"/>
        </w:numPr>
        <w:pStyle w:val="Compact"/>
      </w:pPr>
      <w:r>
        <w:rPr>
          <w:bCs/>
          <w:b/>
        </w:rPr>
        <w:t xml:space="preserve">Transportation (Scope 3 - Upstream &amp; Downstream):</w:t>
      </w:r>
      <w:r>
        <w:t xml:space="preserve"> </w:t>
      </w:r>
      <w:r>
        <w:t xml:space="preserve">Transport of raw materials/components to the factory, and transport of the finished product from the factory to the end-user, including last-mile delivery.</w:t>
      </w:r>
    </w:p>
    <w:p>
      <w:pPr>
        <w:numPr>
          <w:ilvl w:val="0"/>
          <w:numId w:val="1003"/>
        </w:numPr>
        <w:pStyle w:val="Compact"/>
      </w:pPr>
      <w:r>
        <w:rPr>
          <w:bCs/>
          <w:b/>
        </w:rPr>
        <w:t xml:space="preserve">Use Phase (Scope 3 - Downstream):</w:t>
      </w:r>
      <w:r>
        <w:t xml:space="preserve"> </w:t>
      </w:r>
      <w:r>
        <w:t xml:space="preserve">Energy consumption and other impacts during the product\'s operational life by the end-user.</w:t>
      </w:r>
    </w:p>
    <w:p>
      <w:pPr>
        <w:numPr>
          <w:ilvl w:val="0"/>
          <w:numId w:val="1003"/>
        </w:numPr>
        <w:pStyle w:val="Compact"/>
      </w:pPr>
      <w:r>
        <w:rPr>
          <w:bCs/>
          <w:b/>
        </w:rPr>
        <w:t xml:space="preserve">End-of-Life (EoL) (Scope 3 - Downstream):</w:t>
      </w:r>
      <w:r>
        <w:t xml:space="preserve"> </w:t>
      </w:r>
      <w:r>
        <w:t xml:space="preserve">Disposal, recycling, or recovery processes at the end of the product\'s lifespan.</w:t>
      </w:r>
    </w:p>
    <w:bookmarkEnd w:id="26"/>
    <w:bookmarkEnd w:id="27"/>
    <w:bookmarkEnd w:id="28"/>
    <w:p>
      <w:r>
        <w:pict>
          <v:rect style="width:0;height:1.5pt" o:hralign="center" o:hrstd="t" o:hr="t"/>
        </w:pict>
      </w:r>
    </w:p>
    <w:bookmarkStart w:id="35" w:name="data-collection"/>
    <w:bookmarkStart w:id="34" w:name="step-3-collect-data"/>
    <w:p>
      <w:pPr>
        <w:pStyle w:val="Heading2"/>
      </w:pPr>
      <w:r>
        <w:t xml:space="preserve">3. Step 3: Collect Data</w:t>
      </w:r>
    </w:p>
    <w:p>
      <w:pPr>
        <w:pStyle w:val="FirstParagraph"/>
      </w:pPr>
      <w:r>
        <w:t xml:space="preserve">Data was collected and categorized into primary and secondary data points. For placeholder parameters, illustrative values have been applied to demonstrate the calculation methodology.</w:t>
      </w:r>
    </w:p>
    <w:bookmarkStart w:id="29" w:name="X892dbf16ddc782043566a618dadc8c9a10c6afc"/>
    <w:p>
      <w:pPr>
        <w:pStyle w:val="Heading3"/>
      </w:pPr>
      <w:r>
        <w:t xml:space="preserve">3.1. Detailed Bill of Materials (BOM) - ntnjsjsyuw</w:t>
      </w:r>
    </w:p>
    <w:p>
      <w:pPr>
        <w:pStyle w:val="FirstParagraph"/>
      </w:pPr>
      <w:r>
        <w:t xml:space="preserve">The following illustrative Detailed Bill of Materials (BOM) for ntnjsjsyuw has been used for material impact calculation. The \'Total Carbon\' column represents the embedded emissions (Scope 3, Category 1) for each material, derived from its quantity and specific emission factor.</w:t>
      </w:r>
    </w:p>
    <w:p>
      <w:pPr>
        <w:pStyle w:val="BodyText"/>
      </w:pPr>
      <w:r>
        <w:rPr>
          <w:iCs/>
          <w:i/>
        </w:rPr>
        <w:t xml:space="preserve">Note: The provided `lhrdsote` was a placeholder string. The table below uses illustrative data that adheres to the specified format for calculation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w:t>
            </w:r>
          </w:p>
        </w:tc>
      </w:tr>
    </w:tbl>
    <w:p>
      <w:pPr>
        <w:pStyle w:val="BodyText"/>
      </w:pPr>
      <w:r>
        <w:rPr>
          <w:bCs/>
          <w:b/>
        </w:rPr>
        <w:t xml:space="preserve">Total Material Carbon Impact:</w:t>
      </w:r>
      <w:r>
        <w:t xml:space="preserve"> </w:t>
      </w:r>
      <w:r>
        <w:t xml:space="preserve">2.15 kg CO2e</w:t>
      </w:r>
    </w:p>
    <w:bookmarkEnd w:id="29"/>
    <w:bookmarkStart w:id="30" w:name="energy-inputs-manufacturing-phase"/>
    <w:p>
      <w:pPr>
        <w:pStyle w:val="Heading3"/>
      </w:pPr>
      <w:r>
        <w:t xml:space="preserve">3.2. Energy Inputs (Manufacturing Phase)</w:t>
      </w:r>
    </w:p>
    <w:p>
      <w:pPr>
        <w:pStyle w:val="FirstParagraph"/>
      </w:pPr>
      <w:r>
        <w:t xml:space="preserve">Production energy data for the kuqkglmkmx manufacturing facility in China (illustrative values):</w:t>
      </w:r>
    </w:p>
    <w:p>
      <w:pPr>
        <w:numPr>
          <w:ilvl w:val="0"/>
          <w:numId w:val="1004"/>
        </w:numPr>
        <w:pStyle w:val="Compact"/>
      </w:pPr>
      <w:r>
        <w:rPr>
          <w:bCs/>
          <w:b/>
        </w:rPr>
        <w:t xml:space="preserve">Energy Intensity (kWh/unit):</w:t>
      </w:r>
      <w:r>
        <w:t xml:space="preserve"> </w:t>
      </w:r>
      <w:r>
        <w:t xml:space="preserve">idergvmlus (Illustrative: 0.15 kWh/unit)</w:t>
      </w:r>
    </w:p>
    <w:p>
      <w:pPr>
        <w:numPr>
          <w:ilvl w:val="0"/>
          <w:numId w:val="1004"/>
        </w:numPr>
        <w:pStyle w:val="Compact"/>
      </w:pPr>
      <w:r>
        <w:rPr>
          <w:bCs/>
          <w:b/>
        </w:rPr>
        <w:t xml:space="preserve">Renewable Energy Usage (%):</w:t>
      </w:r>
      <w:r>
        <w:t xml:space="preserve"> </w:t>
      </w:r>
      <w:r>
        <w:t xml:space="preserve">uvfrpsdoxk (Illustrative: 50%)</w:t>
      </w:r>
    </w:p>
    <w:p>
      <w:pPr>
        <w:numPr>
          <w:ilvl w:val="0"/>
          <w:numId w:val="1004"/>
        </w:numPr>
        <w:pStyle w:val="Compact"/>
      </w:pPr>
      <w:r>
        <w:rPr>
          <w:bCs/>
          <w:b/>
        </w:rPr>
        <w:t xml:space="preserve">Grid Electricity Emission Factor (China):</w:t>
      </w:r>
      <w:r>
        <w:t xml:space="preserve"> </w:t>
      </w:r>
      <w:r>
        <w:t xml:space="preserve">Approximately 0.6 kg CO2e/kWh for the national grid mix, reflecting the region\'s energy profile.</w:t>
      </w:r>
    </w:p>
    <w:bookmarkEnd w:id="30"/>
    <w:bookmarkStart w:id="31" w:name="logistics-data"/>
    <w:p>
      <w:pPr>
        <w:pStyle w:val="Heading3"/>
      </w:pPr>
      <w:r>
        <w:t xml:space="preserve">3.3. Logistics Data</w:t>
      </w:r>
    </w:p>
    <w:p>
      <w:pPr>
        <w:pStyle w:val="FirstParagraph"/>
      </w:pPr>
      <w:r>
        <w:t xml:space="preserve">Transportation parameters for the product (illustrative values):</w:t>
      </w:r>
    </w:p>
    <w:p>
      <w:pPr>
        <w:numPr>
          <w:ilvl w:val="0"/>
          <w:numId w:val="1005"/>
        </w:numPr>
        <w:pStyle w:val="Compact"/>
      </w:pPr>
      <w:r>
        <w:rPr>
          <w:bCs/>
          <w:b/>
        </w:rPr>
        <w:t xml:space="preserve">Main Transport Mode (China to Europe):</w:t>
      </w:r>
      <w:r>
        <w:t xml:space="preserve"> </w:t>
      </w:r>
      <w:r>
        <w:t xml:space="preserve">Select Mode (Illustrative: Ocean Freight)</w:t>
      </w:r>
    </w:p>
    <w:p>
      <w:pPr>
        <w:numPr>
          <w:ilvl w:val="0"/>
          <w:numId w:val="1005"/>
        </w:numPr>
        <w:pStyle w:val="Compact"/>
      </w:pPr>
      <w:r>
        <w:rPr>
          <w:bCs/>
          <w:b/>
        </w:rPr>
        <w:t xml:space="preserve">Main Transport Distance (China to Europe):</w:t>
      </w:r>
      <w:r>
        <w:t xml:space="preserve"> </w:t>
      </w:r>
      <w:r>
        <w:t xml:space="preserve">pxodgniykx (Illustrative: 15,000 km)</w:t>
      </w:r>
    </w:p>
    <w:p>
      <w:pPr>
        <w:numPr>
          <w:ilvl w:val="0"/>
          <w:numId w:val="1005"/>
        </w:numPr>
        <w:pStyle w:val="Compact"/>
      </w:pPr>
      <w:r>
        <w:rPr>
          <w:bCs/>
          <w:b/>
        </w:rPr>
        <w:t xml:space="preserve">Last-Mile Delivery Channel:</w:t>
      </w:r>
      <w:r>
        <w:t xml:space="preserve"> </w:t>
      </w:r>
      <w:r>
        <w:t xml:space="preserve">Delivery Type (Illustrative: Parcel service within Europe)</w:t>
      </w:r>
    </w:p>
    <w:p>
      <w:pPr>
        <w:numPr>
          <w:ilvl w:val="0"/>
          <w:numId w:val="1005"/>
        </w:numPr>
        <w:pStyle w:val="Compact"/>
      </w:pPr>
      <w:r>
        <w:rPr>
          <w:bCs/>
          <w:b/>
        </w:rPr>
        <w:t xml:space="preserve">Ocean Freight Emission Factor:</w:t>
      </w:r>
      <w:r>
        <w:t xml:space="preserve"> </w:t>
      </w:r>
      <w:r>
        <w:t xml:space="preserve">Approximately 0.016 kg CO2e/tonne-km.</w:t>
      </w:r>
    </w:p>
    <w:p>
      <w:pPr>
        <w:numPr>
          <w:ilvl w:val="0"/>
          <w:numId w:val="1005"/>
        </w:numPr>
        <w:pStyle w:val="Compact"/>
      </w:pPr>
      <w:r>
        <w:rPr>
          <w:bCs/>
          <w:b/>
        </w:rPr>
        <w:t xml:space="preserve">Parcel Service Emission Factor (illustrative):</w:t>
      </w:r>
      <w:r>
        <w:t xml:space="preserve"> </w:t>
      </w:r>
      <w:r>
        <w:t xml:space="preserve">Approximately 0.5 kg CO2e/package.</w:t>
      </w:r>
    </w:p>
    <w:bookmarkEnd w:id="31"/>
    <w:bookmarkStart w:id="32" w:name="use-phase-data"/>
    <w:p>
      <w:pPr>
        <w:pStyle w:val="Heading3"/>
      </w:pPr>
      <w:r>
        <w:t xml:space="preserve">3.4. Use Phase Data</w:t>
      </w:r>
    </w:p>
    <w:p>
      <w:pPr>
        <w:pStyle w:val="FirstParagraph"/>
      </w:pPr>
      <w:r>
        <w:t xml:space="preserve">Product usage parameters (illustrative values):</w:t>
      </w:r>
    </w:p>
    <w:p>
      <w:pPr>
        <w:numPr>
          <w:ilvl w:val="0"/>
          <w:numId w:val="1006"/>
        </w:numPr>
        <w:pStyle w:val="Compact"/>
      </w:pPr>
      <w:r>
        <w:rPr>
          <w:bCs/>
          <w:b/>
        </w:rPr>
        <w:t xml:space="preserve">Product Lifespan:</w:t>
      </w:r>
      <w:r>
        <w:t xml:space="preserve"> </w:t>
      </w:r>
      <w:r>
        <w:t xml:space="preserve">lsvlqilwkx (Illustrative: 5 years)</w:t>
      </w:r>
    </w:p>
    <w:p>
      <w:pPr>
        <w:numPr>
          <w:ilvl w:val="0"/>
          <w:numId w:val="1006"/>
        </w:numPr>
        <w:pStyle w:val="Compact"/>
      </w:pPr>
      <w:r>
        <w:rPr>
          <w:bCs/>
          <w:b/>
        </w:rPr>
        <w:t xml:space="preserve">Energy Consumption in Use:</w:t>
      </w:r>
      <w:r>
        <w:t xml:space="preserve"> </w:t>
      </w:r>
      <w:r>
        <w:t xml:space="preserve">zvspdjtrvx (Illustrative: 10 kWh/year)</w:t>
      </w:r>
    </w:p>
    <w:p>
      <w:pPr>
        <w:numPr>
          <w:ilvl w:val="0"/>
          <w:numId w:val="1006"/>
        </w:numPr>
        <w:pStyle w:val="Compact"/>
      </w:pPr>
      <w:r>
        <w:rPr>
          <w:bCs/>
          <w:b/>
        </w:rPr>
        <w:t xml:space="preserve">Average Global Electricity Mix Emission Factor:</w:t>
      </w:r>
      <w:r>
        <w:t xml:space="preserve"> </w:t>
      </w:r>
      <w:r>
        <w:t xml:space="preserve">Approximately 0.4 kg CO2e/kWh, based on IEA forecasts for 2027.</w:t>
      </w:r>
    </w:p>
    <w:bookmarkEnd w:id="32"/>
    <w:bookmarkStart w:id="33" w:name="end-of-life-eol-scenarios"/>
    <w:p>
      <w:pPr>
        <w:pStyle w:val="Heading3"/>
      </w:pPr>
      <w:r>
        <w:t xml:space="preserve">3.5. End-of-Life (EoL) Scenarios</w:t>
      </w:r>
    </w:p>
    <w:p>
      <w:pPr>
        <w:pStyle w:val="FirstParagraph"/>
      </w:pPr>
      <w:r>
        <w:t xml:space="preserve">EoL parameters (illustrative values):</w:t>
      </w:r>
    </w:p>
    <w:p>
      <w:pPr>
        <w:numPr>
          <w:ilvl w:val="0"/>
          <w:numId w:val="1007"/>
        </w:numPr>
        <w:pStyle w:val="Compact"/>
      </w:pPr>
      <w:r>
        <w:rPr>
          <w:bCs/>
          <w:b/>
        </w:rPr>
        <w:t xml:space="preserve">Recyclability Percentage:</w:t>
      </w:r>
      <w:r>
        <w:t xml:space="preserve"> </w:t>
      </w:r>
      <w:r>
        <w:t xml:space="preserve">pgkkkffhpz (Illustrative: 70%)</w:t>
      </w:r>
    </w:p>
    <w:p>
      <w:pPr>
        <w:numPr>
          <w:ilvl w:val="0"/>
          <w:numId w:val="1007"/>
        </w:numPr>
        <w:pStyle w:val="Compact"/>
      </w:pPr>
      <w:r>
        <w:rPr>
          <w:bCs/>
          <w:b/>
        </w:rPr>
        <w:t xml:space="preserve">Circular/Take-back Programs:</w:t>
      </w:r>
      <w:r>
        <w:t xml:space="preserve"> </w:t>
      </w:r>
      <w:r>
        <w:t xml:space="preserve">wxvfpkgzst (Illustrative: Yes, customer take-back program established)</w:t>
      </w:r>
    </w:p>
    <w:p>
      <w:pPr>
        <w:numPr>
          <w:ilvl w:val="0"/>
          <w:numId w:val="1007"/>
        </w:numPr>
        <w:pStyle w:val="Compact"/>
      </w:pPr>
      <w:r>
        <w:rPr>
          <w:bCs/>
          <w:b/>
        </w:rPr>
        <w:t xml:space="preserve">Waste Treatment Emission Factor (non-recycled):</w:t>
      </w:r>
      <w:r>
        <w:t xml:space="preserve"> </w:t>
      </w:r>
      <w:r>
        <w:t xml:space="preserve">Illustrative 0.1 kg CO2e/kg for mixed waste sent to landfill/incineration.</w:t>
      </w:r>
    </w:p>
    <w:bookmarkEnd w:id="33"/>
    <w:bookmarkEnd w:id="34"/>
    <w:bookmarkEnd w:id="35"/>
    <w:p>
      <w:r>
        <w:pict>
          <v:rect style="width:0;height:1.5pt" o:hralign="center" o:hrstd="t" o:hr="t"/>
        </w:pict>
      </w:r>
    </w:p>
    <w:bookmarkStart w:id="47" w:name="emission-calculation"/>
    <w:bookmarkStart w:id="46" w:name="Xa991e7faf76bdf88064e0090ec77f0e137174e3"/>
    <w:p>
      <w:pPr>
        <w:pStyle w:val="Heading2"/>
      </w:pPr>
      <w:r>
        <w:t xml:space="preserve">4. Step 4: Calculate Emissions (Activity * Emission Factor = CO2e)</w:t>
      </w:r>
    </w:p>
    <w:p>
      <w:pPr>
        <w:pStyle w:val="FirstParagraph"/>
      </w:pPr>
      <w:r>
        <w:t xml:space="preserve">The total Product Carbon Footprint (PCF) for one functional unit of ntnjsjsyuw is calculated by summing the emissions across all lifecycle stages, categorized by GHG Protocol scopes.</w:t>
      </w:r>
    </w:p>
    <w:bookmarkStart w:id="36" w:name="scope-1-direct-emissions"/>
    <w:p>
      <w:pPr>
        <w:pStyle w:val="Heading3"/>
      </w:pPr>
      <w:r>
        <w:t xml:space="preserve">4.1. Scope 1: Direct Emissions</w:t>
      </w:r>
    </w:p>
    <w:p>
      <w:pPr>
        <w:pStyle w:val="FirstParagraph"/>
      </w:pPr>
      <w:r>
        <w:t xml:space="preserve">For a typical product PCF focused on manufacturing, direct (Scope 1) emissions from owned or controlled sources (e.g., on-site fuel combustion) are often minimal or integrated into process energy. In this analysis, we assume direct emissions from product manufacturing at the factory are negligible or captured within upstream processes for the materials, given no specific direct combustion data was provided.</w:t>
      </w:r>
    </w:p>
    <w:bookmarkEnd w:id="36"/>
    <w:bookmarkStart w:id="37" w:name="scope-2-purchased-energy-emissions"/>
    <w:p>
      <w:pPr>
        <w:pStyle w:val="Heading3"/>
      </w:pPr>
      <w:r>
        <w:t xml:space="preserve">4.2. Scope 2: Purchased Energy Emissions</w:t>
      </w:r>
    </w:p>
    <w:p>
      <w:pPr>
        <w:pStyle w:val="FirstParagraph"/>
      </w:pPr>
      <w:r>
        <w:t xml:space="preserve">Emissions from purchased electricity for manufacturing the product:</w:t>
      </w:r>
    </w:p>
    <w:p>
      <w:pPr>
        <w:numPr>
          <w:ilvl w:val="0"/>
          <w:numId w:val="1008"/>
        </w:numPr>
        <w:pStyle w:val="Compact"/>
      </w:pPr>
      <w:r>
        <w:t xml:space="preserve">Energy Intensity: 0.15 kWh/unit</w:t>
      </w:r>
    </w:p>
    <w:p>
      <w:pPr>
        <w:numPr>
          <w:ilvl w:val="0"/>
          <w:numId w:val="1008"/>
        </w:numPr>
        <w:pStyle w:val="Compact"/>
      </w:pPr>
      <w:r>
        <w:t xml:space="preserve">Renewable Energy Usage: 50%</w:t>
      </w:r>
    </w:p>
    <w:p>
      <w:pPr>
        <w:numPr>
          <w:ilvl w:val="0"/>
          <w:numId w:val="1008"/>
        </w:numPr>
        <w:pStyle w:val="Compact"/>
      </w:pPr>
      <w:r>
        <w:t xml:space="preserve">Grid Electricity Consumed: 0.15 kWh/unit * (1 - 0.50) = 0.075 kWh/unit</w:t>
      </w:r>
    </w:p>
    <w:p>
      <w:pPr>
        <w:numPr>
          <w:ilvl w:val="0"/>
          <w:numId w:val="1008"/>
        </w:numPr>
        <w:pStyle w:val="Compact"/>
      </w:pPr>
      <w:r>
        <w:t xml:space="preserve">China Grid Electricity Emission Factor: 0.6 kg CO2e/kWh</w:t>
      </w:r>
    </w:p>
    <w:p>
      <w:pPr>
        <w:numPr>
          <w:ilvl w:val="0"/>
          <w:numId w:val="1008"/>
        </w:numPr>
        <w:pStyle w:val="Compact"/>
      </w:pPr>
      <w:r>
        <w:rPr>
          <w:bCs/>
          <w:b/>
        </w:rPr>
        <w:t xml:space="preserve">Manufacturing Scope 2 Emissions:</w:t>
      </w:r>
      <w:r>
        <w:t xml:space="preserve"> </w:t>
      </w:r>
      <w:r>
        <w:t xml:space="preserve">0.075 kWh/unit * 0.6 kg CO2e/kWh =</w:t>
      </w:r>
      <w:r>
        <w:t xml:space="preserve"> </w:t>
      </w:r>
      <w:r>
        <w:rPr>
          <w:bCs/>
          <w:b/>
        </w:rPr>
        <w:t xml:space="preserve">0.045 kg CO2e</w:t>
      </w:r>
    </w:p>
    <w:bookmarkEnd w:id="37"/>
    <w:bookmarkStart w:id="42" w:name="scope-3-value-chain-emissions"/>
    <w:p>
      <w:pPr>
        <w:pStyle w:val="Heading3"/>
      </w:pPr>
      <w:r>
        <w:t xml:space="preserve">4.3. Scope 3: Value Chain Emissions</w:t>
      </w:r>
    </w:p>
    <w:p>
      <w:pPr>
        <w:pStyle w:val="FirstParagraph"/>
      </w:pPr>
      <w:r>
        <w:t xml:space="preserve">Scope 3 emissions represent the most significant portion of the product\'s footprint, covering both upstream and downstream activities.</w:t>
      </w:r>
    </w:p>
    <w:bookmarkStart w:id="38" w:name="X6b4bede62eec6fea496134e3f9fa1b231ac088b"/>
    <w:p>
      <w:pPr>
        <w:pStyle w:val="Heading4"/>
      </w:pPr>
      <w:r>
        <w:t xml:space="preserve">4.3.1. Category 1: Purchased Goods and Services (Raw Materials)</w:t>
      </w:r>
    </w:p>
    <w:p>
      <w:pPr>
        <w:pStyle w:val="FirstParagraph"/>
      </w:pPr>
      <w:r>
        <w:t xml:space="preserve">Emissions embedded in the raw materials and components used to manufacture ntnjsjsyuw, directly summed from the illustrative BOM:</w:t>
      </w:r>
    </w:p>
    <w:p>
      <w:pPr>
        <w:numPr>
          <w:ilvl w:val="0"/>
          <w:numId w:val="1009"/>
        </w:numPr>
        <w:pStyle w:val="Compact"/>
      </w:pPr>
      <w:r>
        <w:rPr>
          <w:bCs/>
          <w:b/>
        </w:rPr>
        <w:t xml:space="preserve">Total Material Emissions:</w:t>
      </w:r>
      <w:r>
        <w:t xml:space="preserve"> </w:t>
      </w:r>
      <w:r>
        <w:t xml:space="preserve">2.15 kg CO2e</w:t>
      </w:r>
    </w:p>
    <w:bookmarkEnd w:id="38"/>
    <w:bookmarkStart w:id="39" w:name="Xcf3851b1e38aaf700f145fe407218c5e8846bbc"/>
    <w:p>
      <w:pPr>
        <w:pStyle w:val="Heading4"/>
      </w:pPr>
      <w:r>
        <w:t xml:space="preserve">4.3.2. Category 4 &amp; 9: Transportation and Distribution</w:t>
      </w:r>
    </w:p>
    <w:p>
      <w:pPr>
        <w:pStyle w:val="FirstParagraph"/>
      </w:pPr>
      <w:r>
        <w:t xml:space="preserve">Emissions from the transportation of materials and the finished product:</w:t>
      </w:r>
    </w:p>
    <w:p>
      <w:pPr>
        <w:numPr>
          <w:ilvl w:val="0"/>
          <w:numId w:val="1010"/>
        </w:numPr>
        <w:pStyle w:val="Compact"/>
      </w:pPr>
      <w:r>
        <w:rPr>
          <w:bCs/>
          <w:b/>
        </w:rPr>
        <w:t xml:space="preserve">Upstream Transport (Components to China factory):</w:t>
      </w:r>
      <w:r>
        <w:t xml:space="preserve"> </w:t>
      </w:r>
      <w:r>
        <w:t xml:space="preserve">An illustrative estimate of 0.2 kg CO2e is assigned for the aggregate transport of components to the manufacturing facility, acknowledging the lack of specific data for each BOM item\'s journey.</w:t>
      </w:r>
    </w:p>
    <w:p>
      <w:pPr>
        <w:numPr>
          <w:ilvl w:val="0"/>
          <w:numId w:val="1010"/>
        </w:numPr>
        <w:pStyle w:val="Compact"/>
      </w:pPr>
      <w:r>
        <w:rPr>
          <w:bCs/>
          <w:b/>
        </w:rPr>
        <w:t xml:space="preserve">Main Downstream Transport (China to Europe - Ocean Freight):</w:t>
      </w:r>
    </w:p>
    <w:p>
      <w:pPr>
        <w:numPr>
          <w:ilvl w:val="1"/>
          <w:numId w:val="1011"/>
        </w:numPr>
        <w:pStyle w:val="Compact"/>
      </w:pPr>
      <w:r>
        <w:t xml:space="preserve">Mode: Ocean Freight</w:t>
      </w:r>
    </w:p>
    <w:p>
      <w:pPr>
        <w:numPr>
          <w:ilvl w:val="1"/>
          <w:numId w:val="1011"/>
        </w:numPr>
        <w:pStyle w:val="Compact"/>
      </w:pPr>
      <w:r>
        <w:t xml:space="preserve">Distance: 15,000 km</w:t>
      </w:r>
    </w:p>
    <w:p>
      <w:pPr>
        <w:numPr>
          <w:ilvl w:val="1"/>
          <w:numId w:val="1011"/>
        </w:numPr>
        <w:pStyle w:val="Compact"/>
      </w:pPr>
      <w:r>
        <w:t xml:space="preserve">Product Weight (approx.): 0.85 kg = 0.00085 tonnes</w:t>
      </w:r>
    </w:p>
    <w:p>
      <w:pPr>
        <w:numPr>
          <w:ilvl w:val="1"/>
          <w:numId w:val="1011"/>
        </w:numPr>
        <w:pStyle w:val="Compact"/>
      </w:pPr>
      <w:r>
        <w:t xml:space="preserve">Ocean Freight Emission Factor: 0.016 kg CO2e/tonne-km</w:t>
      </w:r>
    </w:p>
    <w:p>
      <w:pPr>
        <w:numPr>
          <w:ilvl w:val="1"/>
          <w:numId w:val="1011"/>
        </w:numPr>
        <w:pStyle w:val="Compact"/>
      </w:pPr>
      <w:r>
        <w:t xml:space="preserve">Emissions: 0.00085 tonnes * 15000 km * 0.016 kg CO2e/tonne-km = 0.204 kg CO2e</w:t>
      </w:r>
    </w:p>
    <w:p>
      <w:pPr>
        <w:numPr>
          <w:ilvl w:val="0"/>
          <w:numId w:val="1010"/>
        </w:numPr>
        <w:pStyle w:val="Compact"/>
      </w:pPr>
      <w:r>
        <w:rPr>
          <w:bCs/>
          <w:b/>
        </w:rPr>
        <w:t xml:space="preserve">Last-Mile Delivery (within Europe - Parcel Service):</w:t>
      </w:r>
    </w:p>
    <w:p>
      <w:pPr>
        <w:numPr>
          <w:ilvl w:val="1"/>
          <w:numId w:val="1012"/>
        </w:numPr>
        <w:pStyle w:val="Compact"/>
      </w:pPr>
      <w:r>
        <w:t xml:space="preserve">Channel: Parcel service</w:t>
      </w:r>
    </w:p>
    <w:p>
      <w:pPr>
        <w:numPr>
          <w:ilvl w:val="1"/>
          <w:numId w:val="1012"/>
        </w:numPr>
        <w:pStyle w:val="Compact"/>
      </w:pPr>
      <w:r>
        <w:t xml:space="preserve">Illustrative Emission: 0.5 kg CO2e/package</w:t>
      </w:r>
    </w:p>
    <w:p>
      <w:pPr>
        <w:numPr>
          <w:ilvl w:val="0"/>
          <w:numId w:val="1010"/>
        </w:numPr>
        <w:pStyle w:val="Compact"/>
      </w:pPr>
      <w:r>
        <w:rPr>
          <w:bCs/>
          <w:b/>
        </w:rPr>
        <w:t xml:space="preserve">Total Transportation Emissions:</w:t>
      </w:r>
      <w:r>
        <w:t xml:space="preserve"> </w:t>
      </w:r>
      <w:r>
        <w:t xml:space="preserve">0.2 (upstream components) + 0.204 (ocean freight) + 0.5 (last-mile) =</w:t>
      </w:r>
      <w:r>
        <w:t xml:space="preserve"> </w:t>
      </w:r>
      <w:r>
        <w:rPr>
          <w:bCs/>
          <w:b/>
        </w:rPr>
        <w:t xml:space="preserve">0.904 kg CO2e</w:t>
      </w:r>
    </w:p>
    <w:bookmarkEnd w:id="39"/>
    <w:bookmarkStart w:id="40" w:name="category-11-use-of-sold-products"/>
    <w:p>
      <w:pPr>
        <w:pStyle w:val="Heading4"/>
      </w:pPr>
      <w:r>
        <w:t xml:space="preserve">4.3.3. Category 11: Use of Sold Products</w:t>
      </w:r>
    </w:p>
    <w:p>
      <w:pPr>
        <w:pStyle w:val="FirstParagraph"/>
      </w:pPr>
      <w:r>
        <w:t xml:space="preserve">Emissions resulting from the energy consumption during the product\'s operational life:</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Consumed: 10 kWh/year * 5 years = 50 kWh</w:t>
      </w:r>
    </w:p>
    <w:p>
      <w:pPr>
        <w:numPr>
          <w:ilvl w:val="0"/>
          <w:numId w:val="1013"/>
        </w:numPr>
        <w:pStyle w:val="Compact"/>
      </w:pPr>
      <w:r>
        <w:t xml:space="preserve">Average Global Electricity Mix Emission Factor: 0.4 kg CO2e/kWh</w:t>
      </w:r>
    </w:p>
    <w:p>
      <w:pPr>
        <w:numPr>
          <w:ilvl w:val="0"/>
          <w:numId w:val="1013"/>
        </w:numPr>
        <w:pStyle w:val="Compact"/>
      </w:pPr>
      <w:r>
        <w:rPr>
          <w:bCs/>
          <w:b/>
        </w:rPr>
        <w:t xml:space="preserve">Use Phase Emissions:</w:t>
      </w:r>
      <w:r>
        <w:t xml:space="preserve"> </w:t>
      </w:r>
      <w:r>
        <w:t xml:space="preserve">50 kWh * 0.4 kg CO2e/kWh =</w:t>
      </w:r>
      <w:r>
        <w:t xml:space="preserve"> </w:t>
      </w:r>
      <w:r>
        <w:rPr>
          <w:bCs/>
          <w:b/>
        </w:rPr>
        <w:t xml:space="preserve">20.0 kg CO2e</w:t>
      </w:r>
    </w:p>
    <w:bookmarkEnd w:id="40"/>
    <w:bookmarkStart w:id="41" w:name="X9f66eef2700632e081dfe139021cb724ffcd2c5"/>
    <w:p>
      <w:pPr>
        <w:pStyle w:val="Heading4"/>
      </w:pPr>
      <w:r>
        <w:t xml:space="preserve">4.3.4. Category 12: End-of-Life Treatment of Sold Products</w:t>
      </w:r>
    </w:p>
    <w:p>
      <w:pPr>
        <w:pStyle w:val="FirstParagraph"/>
      </w:pPr>
      <w:r>
        <w:t xml:space="preserve">Emissions associated with the disposal of the product at the end of its life. Following GHG Protocol guidance, avoided emissions from recycling are discussed separately rather than being a negative value in the direct inventory calculation.</w:t>
      </w:r>
    </w:p>
    <w:p>
      <w:pPr>
        <w:numPr>
          <w:ilvl w:val="0"/>
          <w:numId w:val="1014"/>
        </w:numPr>
        <w:pStyle w:val="Compact"/>
      </w:pPr>
      <w:r>
        <w:t xml:space="preserve">Total Product Weight (approx. from BOM): 0.85 kg</w:t>
      </w:r>
    </w:p>
    <w:p>
      <w:pPr>
        <w:numPr>
          <w:ilvl w:val="0"/>
          <w:numId w:val="1014"/>
        </w:numPr>
        <w:pStyle w:val="Compact"/>
      </w:pPr>
      <w:r>
        <w:t xml:space="preserve">Non-Recycled Portion (100% - 70% recyclability): 0.85 kg * 0.30 = 0.255 kg</w:t>
      </w:r>
    </w:p>
    <w:p>
      <w:pPr>
        <w:numPr>
          <w:ilvl w:val="0"/>
          <w:numId w:val="1014"/>
        </w:numPr>
        <w:pStyle w:val="Compact"/>
      </w:pPr>
      <w:r>
        <w:t xml:space="preserve">Illustrative Waste Treatment Emission Factor (landfill/incineration): 0.1 kg CO2e/kg</w:t>
      </w:r>
    </w:p>
    <w:p>
      <w:pPr>
        <w:numPr>
          <w:ilvl w:val="0"/>
          <w:numId w:val="1014"/>
        </w:numPr>
        <w:pStyle w:val="Compact"/>
      </w:pPr>
      <w:r>
        <w:rPr>
          <w:bCs/>
          <w:b/>
        </w:rPr>
        <w:t xml:space="preserve">End-of-Life Disposal Emissions:</w:t>
      </w:r>
      <w:r>
        <w:t xml:space="preserve"> </w:t>
      </w:r>
      <w:r>
        <w:t xml:space="preserve">0.255 kg * 0.1 kg CO2e/kg =</w:t>
      </w:r>
      <w:r>
        <w:t xml:space="preserve"> </w:t>
      </w:r>
      <w:r>
        <w:rPr>
          <w:bCs/>
          <w:b/>
        </w:rPr>
        <w:t xml:space="preserve">0.0255 kg CO2e</w:t>
      </w:r>
    </w:p>
    <w:bookmarkEnd w:id="41"/>
    <w:bookmarkEnd w:id="42"/>
    <w:bookmarkStart w:id="43" w:name="X299a3717db401fbc63eac38de0814f3ad8939f4"/>
    <w:p>
      <w:pPr>
        <w:pStyle w:val="Heading3"/>
      </w:pPr>
      <w:r>
        <w:t xml:space="preserve">4.4. Total Product Carbon Footprint (PCF) Summary</w:t>
      </w:r>
    </w:p>
    <w:p>
      <w:pPr>
        <w:pStyle w:val="FirstParagraph"/>
      </w:pPr>
      <w:r>
        <w:t xml:space="preserve">The total estimated Product Carbon Footprint for one functional unit of ntnjsjsyuw is as follows: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w:t>
            </w:r>
          </w:p>
        </w:tc>
      </w:tr>
      <w:tr>
        <w:tc>
          <w:tcPr/>
          <w:p>
            <w:pPr>
              <w:pStyle w:val="Compact"/>
              <w:jc w:val="left"/>
            </w:pPr>
            <w:r>
              <w:t xml:space="preserve">Scope 1: Direct Emissions (Manufacturing)</w:t>
            </w:r>
          </w:p>
        </w:tc>
        <w:tc>
          <w:tcPr/>
          <w:p>
            <w:pPr>
              <w:pStyle w:val="Compact"/>
              <w:jc w:val="left"/>
            </w:pPr>
            <w:r>
              <w:t xml:space="preserve">0.000</w:t>
            </w:r>
          </w:p>
        </w:tc>
      </w:tr>
      <w:tr>
        <w:tc>
          <w:tcPr/>
          <w:p>
            <w:pPr>
              <w:pStyle w:val="Compact"/>
              <w:jc w:val="left"/>
            </w:pPr>
            <w:r>
              <w:t xml:space="preserve">Scope 2: Purchased Energy (Manufacturing)</w:t>
            </w:r>
          </w:p>
        </w:tc>
        <w:tc>
          <w:tcPr/>
          <w:p>
            <w:pPr>
              <w:pStyle w:val="Compact"/>
              <w:jc w:val="left"/>
            </w:pPr>
            <w:r>
              <w:t xml:space="preserve">0.045</w:t>
            </w:r>
          </w:p>
        </w:tc>
      </w:tr>
      <w:tr>
        <w:tc>
          <w:tcPr/>
          <w:p>
            <w:pPr>
              <w:pStyle w:val="Compact"/>
              <w:jc w:val="left"/>
            </w:pPr>
            <w:r>
              <w:t xml:space="preserve">Scope 3, Category 1: Purchased Goods and Services (Materials)</w:t>
            </w:r>
          </w:p>
        </w:tc>
        <w:tc>
          <w:tcPr/>
          <w:p>
            <w:pPr>
              <w:pStyle w:val="Compact"/>
              <w:jc w:val="left"/>
            </w:pPr>
            <w:r>
              <w:t xml:space="preserve">2.150</w:t>
            </w:r>
          </w:p>
        </w:tc>
      </w:tr>
      <w:tr>
        <w:tc>
          <w:tcPr/>
          <w:p>
            <w:pPr>
              <w:pStyle w:val="Compact"/>
              <w:jc w:val="left"/>
            </w:pPr>
            <w:r>
              <w:t xml:space="preserve">Scope 3, Category 4 &amp; 9: Transportation and Distribution</w:t>
            </w:r>
          </w:p>
        </w:tc>
        <w:tc>
          <w:tcPr/>
          <w:p>
            <w:pPr>
              <w:pStyle w:val="Compact"/>
              <w:jc w:val="left"/>
            </w:pPr>
            <w:r>
              <w:t xml:space="preserve">0.904</w:t>
            </w:r>
          </w:p>
        </w:tc>
      </w:tr>
      <w:tr>
        <w:tc>
          <w:tcPr/>
          <w:p>
            <w:pPr>
              <w:pStyle w:val="Compact"/>
              <w:jc w:val="left"/>
            </w:pPr>
            <w:r>
              <w:t xml:space="preserve">Scope 3, Category 11: Use of Sold Products</w:t>
            </w:r>
          </w:p>
        </w:tc>
        <w:tc>
          <w:tcPr/>
          <w:p>
            <w:pPr>
              <w:pStyle w:val="Compact"/>
              <w:jc w:val="left"/>
            </w:pPr>
            <w:r>
              <w:t xml:space="preserve">20.000</w:t>
            </w:r>
          </w:p>
        </w:tc>
      </w:tr>
      <w:tr>
        <w:tc>
          <w:tcPr/>
          <w:p>
            <w:pPr>
              <w:pStyle w:val="Compact"/>
              <w:jc w:val="left"/>
            </w:pPr>
            <w:r>
              <w:t xml:space="preserve">Scope 3, Category 12: End-of-Life Treatment of Sold Products</w:t>
            </w:r>
          </w:p>
        </w:tc>
        <w:tc>
          <w:tcPr/>
          <w:p>
            <w:pPr>
              <w:pStyle w:val="Compact"/>
              <w:jc w:val="left"/>
            </w:pPr>
            <w:r>
              <w:t xml:space="preserve">0.0255</w:t>
            </w:r>
          </w:p>
        </w:tc>
      </w:tr>
      <w:tr>
        <w:tc>
          <w:tcPr/>
          <w:p>
            <w:pPr>
              <w:pStyle w:val="Compact"/>
              <w:jc w:val="left"/>
            </w:pPr>
            <w:r>
              <w:t xml:space="preserve">TOTAL PRODUCT CARBON FOOTPRINT</w:t>
            </w:r>
          </w:p>
        </w:tc>
        <w:tc>
          <w:tcPr/>
          <w:p>
            <w:pPr>
              <w:pStyle w:val="Compact"/>
              <w:jc w:val="left"/>
            </w:pPr>
            <w:r>
              <w:t xml:space="preserve">23.1245</w:t>
            </w:r>
          </w:p>
        </w:tc>
      </w:tr>
    </w:tbl>
    <w:p>
      <w:pPr>
        <w:pStyle w:val="BodyText"/>
      </w:pPr>
      <w:r>
        <w:rPr>
          <w:bCs/>
          <w:b/>
        </w:rPr>
        <w:t xml:space="preserve">Overall Total PCF (Illustrative): 23.1245 kg CO2e per unit of ntnjsjsyuw</w:t>
      </w:r>
    </w:p>
    <w:bookmarkEnd w:id="43"/>
    <w:bookmarkStart w:id="44" w:name="X504f4a86e01fdcfa46a4589bb1b5e0cfaad8629"/>
    <w:p>
      <w:pPr>
        <w:pStyle w:val="Heading3"/>
      </w:pPr>
      <w:r>
        <w:t xml:space="preserve">4.5. 2026 Land Sector and Removals (LSR) Standard Update</w:t>
      </w:r>
    </w:p>
    <w:p>
      <w:pPr>
        <w:pStyle w:val="FirstParagraph"/>
      </w:pPr>
      <w:r>
        <w:t xml:space="preserve">The GHG Protocol\'s Land Sector and Removals (LSR) Standard (2026 Update) provides guidance for accounting for GHG emissions and removals from land use, land-use change, and forestry activities. While specific data for quantifying LSR impacts for ntnjsjsyuw were not provided, a comprehensive PCF would incorporate emissions or removals related to the land-use impacts of raw material sourcing (e.g., deforestation for material production) or any biogenic carbon sequestration within the product lifecycle. This would enhance the accuracy of the overall footprint by including nature-based solutions and land-related emissions that extend beyond traditional industrial processes.</w:t>
      </w:r>
    </w:p>
    <w:bookmarkEnd w:id="44"/>
    <w:bookmarkStart w:id="45" w:name="scope-3-compliance"/>
    <w:p>
      <w:pPr>
        <w:pStyle w:val="Heading3"/>
      </w:pPr>
      <w:r>
        <w:t xml:space="preserve">4.6. Scope 3 Compliance</w:t>
      </w:r>
    </w:p>
    <w:p>
      <w:pPr>
        <w:pStyle w:val="FirstParagraph"/>
      </w:pPr>
      <w:r>
        <w:t xml:space="preserve">Ensuring at least 95% coverage for Scope 3 reporting is a critical 2026 requirement. In this illustrative analysis, significant Scope 3 categories such as Purchased Goods &amp; Services, Transportation, Use of Sold Products, and End-of-Life Treatment have been addressed. For a real-world scenario, thorough data collection across all 15 Scope 3 categories would be pursued to meet the 95% coverage target, including engagements with suppliers for primary data where feasible.</w:t>
      </w:r>
    </w:p>
    <w:bookmarkEnd w:id="45"/>
    <w:bookmarkEnd w:id="46"/>
    <w:bookmarkEnd w:id="47"/>
    <w:p>
      <w:r>
        <w:pict>
          <v:rect style="width:0;height:1.5pt" o:hralign="center" o:hrstd="t" o:hr="t"/>
        </w:pict>
      </w:r>
    </w:p>
    <w:bookmarkStart w:id="53" w:name="review-report"/>
    <w:bookmarkStart w:id="52" w:name="step-5-review-report"/>
    <w:p>
      <w:pPr>
        <w:pStyle w:val="Heading2"/>
      </w:pPr>
      <w:r>
        <w:t xml:space="preserve">5. Step 5: Review &amp; Report</w:t>
      </w:r>
    </w:p>
    <w:bookmarkStart w:id="48" w:name="hotspots-analysis"/>
    <w:p>
      <w:pPr>
        <w:pStyle w:val="Heading3"/>
      </w:pPr>
      <w:r>
        <w:t xml:space="preserve">5.1. Hotspots Analysis</w:t>
      </w:r>
    </w:p>
    <w:p>
      <w:pPr>
        <w:pStyle w:val="FirstParagraph"/>
      </w:pPr>
      <w:r>
        <w:t xml:space="preserve">Based on this illustrative analysis, the primary carbon footprint hotspot for ntnjsjsyuw is clearly identified as the **Use Phase**, contributing approximately 86.5% of the total emissions. This is largely due to the product\'s energy consumption over its 5-year lifespan. Other significant contributions come from the raw materials and transportation.</w:t>
      </w:r>
    </w:p>
    <w:p>
      <w:pPr>
        <w:numPr>
          <w:ilvl w:val="0"/>
          <w:numId w:val="1015"/>
        </w:numPr>
        <w:pStyle w:val="Compact"/>
      </w:pPr>
      <w:r>
        <w:rPr>
          <w:bCs/>
          <w:b/>
        </w:rPr>
        <w:t xml:space="preserve">Use Phase:</w:t>
      </w:r>
      <w:r>
        <w:t xml:space="preserve"> </w:t>
      </w:r>
      <w:r>
        <w:t xml:space="preserve">20.0 kg CO2e (86.5%)</w:t>
      </w:r>
    </w:p>
    <w:p>
      <w:pPr>
        <w:numPr>
          <w:ilvl w:val="0"/>
          <w:numId w:val="1015"/>
        </w:numPr>
        <w:pStyle w:val="Compact"/>
      </w:pPr>
      <w:r>
        <w:rPr>
          <w:bCs/>
          <w:b/>
        </w:rPr>
        <w:t xml:space="preserve">Raw Materials:</w:t>
      </w:r>
      <w:r>
        <w:t xml:space="preserve"> </w:t>
      </w:r>
      <w:r>
        <w:t xml:space="preserve">2.15 kg CO2e (9.3%)</w:t>
      </w:r>
    </w:p>
    <w:p>
      <w:pPr>
        <w:numPr>
          <w:ilvl w:val="0"/>
          <w:numId w:val="1015"/>
        </w:numPr>
        <w:pStyle w:val="Compact"/>
      </w:pPr>
      <w:r>
        <w:rPr>
          <w:bCs/>
          <w:b/>
        </w:rPr>
        <w:t xml:space="preserve">Transportation:</w:t>
      </w:r>
      <w:r>
        <w:t xml:space="preserve"> </w:t>
      </w:r>
      <w:r>
        <w:t xml:space="preserve">0.904 kg CO2e (3.9%)</w:t>
      </w:r>
    </w:p>
    <w:p>
      <w:pPr>
        <w:numPr>
          <w:ilvl w:val="0"/>
          <w:numId w:val="1015"/>
        </w:numPr>
        <w:pStyle w:val="Compact"/>
      </w:pPr>
      <w:r>
        <w:rPr>
          <w:bCs/>
          <w:b/>
        </w:rPr>
        <w:t xml:space="preserve">Manufacturing (Scope 2):</w:t>
      </w:r>
      <w:r>
        <w:t xml:space="preserve"> </w:t>
      </w:r>
      <w:r>
        <w:t xml:space="preserve">0.045 kg CO2e (0.2%)</w:t>
      </w:r>
    </w:p>
    <w:p>
      <w:pPr>
        <w:numPr>
          <w:ilvl w:val="0"/>
          <w:numId w:val="1015"/>
        </w:numPr>
        <w:pStyle w:val="Compact"/>
      </w:pPr>
      <w:r>
        <w:rPr>
          <w:bCs/>
          <w:b/>
        </w:rPr>
        <w:t xml:space="preserve">End-of-Life:</w:t>
      </w:r>
      <w:r>
        <w:t xml:space="preserve"> </w:t>
      </w:r>
      <w:r>
        <w:t xml:space="preserve">0.0255 kg CO2e (0.1%)</w:t>
      </w:r>
    </w:p>
    <w:bookmarkEnd w:id="48"/>
    <w:bookmarkStart w:id="49" w:name="reliability-and-data-quality"/>
    <w:p>
      <w:pPr>
        <w:pStyle w:val="Heading3"/>
      </w:pPr>
      <w:r>
        <w:t xml:space="preserve">5.2. Reliability and Data Quality</w:t>
      </w:r>
    </w:p>
    <w:p>
      <w:pPr>
        <w:pStyle w:val="FirstParagraph"/>
      </w:pPr>
      <w:r>
        <w:t xml:space="preserve">The reliability of this PCF analysis is dependent on the accuracy of the input data. While industry-standard emission factors and best available illustrative data have been used for placeholder parameters, actual primary data from kuqkglmkmx\'s supply chain and operations would significantly improve precision. Continuous improvement in data collection and the use of supplier-specific emission factors are recommended for future assessments.</w:t>
      </w:r>
    </w:p>
    <w:bookmarkEnd w:id="49"/>
    <w:bookmarkStart w:id="50" w:name="Xa399ccd7e2f917abe7f7c196612810d6c6f953d"/>
    <w:p>
      <w:pPr>
        <w:pStyle w:val="Heading3"/>
      </w:pPr>
      <w:r>
        <w:t xml:space="preserve">5.3. Circular Economy Impacts (End-of-Life Discussion)</w:t>
      </w:r>
    </w:p>
    <w:p>
      <w:pPr>
        <w:pStyle w:val="FirstParagraph"/>
      </w:pPr>
      <w:r>
        <w:t xml:space="preserve">The incorporation of End-of-Life (EoL) scenarios highlights the potential for circular economy benefits. With an illustrative recyclability rate of 70% and the presence of a customer take-back program, there is significant potential to reduce the demand for virgin materials and divert waste from landfills. While direct avoided emissions are not typically included in the main PCF inventory per GHG Protocol guidance, the high recyclability percentage indicates a substantial opportunity for future emissions reductions through material circularity. Implementing and scaling up such take-back programs can further enhance resource efficiency and reduce overall lifecycle impacts.</w:t>
      </w:r>
    </w:p>
    <w:bookmarkEnd w:id="50"/>
    <w:bookmarkStart w:id="51" w:name="recommendations-for-kuqkglmkmx"/>
    <w:p>
      <w:pPr>
        <w:pStyle w:val="Heading3"/>
      </w:pPr>
      <w:r>
        <w:t xml:space="preserve">5.4. Recommendations for kuqkglmkmx</w:t>
      </w:r>
    </w:p>
    <w:p>
      <w:pPr>
        <w:numPr>
          <w:ilvl w:val="0"/>
          <w:numId w:val="1016"/>
        </w:numPr>
        <w:pStyle w:val="Compact"/>
      </w:pPr>
      <w:r>
        <w:rPr>
          <w:bCs/>
          <w:b/>
        </w:rPr>
        <w:t xml:space="preserve">Optimize Use Phase:</w:t>
      </w:r>
      <w:r>
        <w:t xml:space="preserve"> </w:t>
      </w:r>
      <w:r>
        <w:t xml:space="preserve">Invest in R&amp;D to improve the energy efficiency of ntnjsjsyuw during its operational lifespan. Explore alternative energy sources or design modifications that reduce or eliminate energy requirements in use.</w:t>
      </w:r>
    </w:p>
    <w:p>
      <w:pPr>
        <w:numPr>
          <w:ilvl w:val="0"/>
          <w:numId w:val="1016"/>
        </w:numPr>
        <w:pStyle w:val="Compact"/>
      </w:pPr>
      <w:r>
        <w:rPr>
          <w:bCs/>
          <w:b/>
        </w:rPr>
        <w:t xml:space="preserve">Sustainable Material Sourcing:</w:t>
      </w:r>
      <w:r>
        <w:t xml:space="preserve"> </w:t>
      </w:r>
      <w:r>
        <w:t xml:space="preserve">Prioritize sourcing materials with lower embedded carbon, exploring recycled content options, and engaging with suppliers on their decarbonization efforts.</w:t>
      </w:r>
    </w:p>
    <w:p>
      <w:pPr>
        <w:numPr>
          <w:ilvl w:val="0"/>
          <w:numId w:val="1016"/>
        </w:numPr>
        <w:pStyle w:val="Compact"/>
      </w:pPr>
      <w:r>
        <w:rPr>
          <w:bCs/>
          <w:b/>
        </w:rPr>
        <w:t xml:space="preserve">Logistics Optimization:</w:t>
      </w:r>
      <w:r>
        <w:t xml:space="preserve"> </w:t>
      </w:r>
      <w:r>
        <w:t xml:space="preserve">Investigate more efficient and lower-emission transport modes for both upstream components and downstream product distribution, especially for long-haul routes.</w:t>
      </w:r>
    </w:p>
    <w:p>
      <w:pPr>
        <w:numPr>
          <w:ilvl w:val="0"/>
          <w:numId w:val="1016"/>
        </w:numPr>
        <w:pStyle w:val="Compact"/>
      </w:pPr>
      <w:r>
        <w:rPr>
          <w:bCs/>
          <w:b/>
        </w:rPr>
        <w:t xml:space="preserve">Enhance Circularity:</w:t>
      </w:r>
      <w:r>
        <w:t xml:space="preserve"> </w:t>
      </w:r>
      <w:r>
        <w:t xml:space="preserve">Continue to strengthen and expand take-back and recycling programs, ensuring high recovery rates and effective material reintegration into new production cycles.</w:t>
      </w:r>
    </w:p>
    <w:bookmarkEnd w:id="51"/>
    <w:bookmarkEnd w:id="52"/>
    <w:bookmarkEnd w:id="53"/>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ntnjsjsyuw</dc:title>
  <dc:creator/>
  <dc:description>High-detail Product Carbon Footprint (PCF) analysis for ntnjsjsyuw, following GHG Protocol standards, conducted by ydfgzfwzte, Senior Sustainability Consultant for kuqkglmkmx.</dc:description>
  <dc:language>en</dc:language>
  <cp:keywords/>
  <dcterms:created xsi:type="dcterms:W3CDTF">2026-07-15T05:32:34Z</dcterms:created>
  <dcterms:modified xsi:type="dcterms:W3CDTF">2026-07-15T05:32:34Z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