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nthzezrhdl</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nthzezrhdl"/>
    <w:p>
      <w:pPr>
        <w:pStyle w:val="Heading2"/>
      </w:pPr>
      <w:r>
        <w:t xml:space="preserve">Product: nthzezrhdl</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xpdizsxppj</w:t>
      </w:r>
    </w:p>
    <w:p>
      <w:pPr>
        <w:pStyle w:val="BodyText"/>
      </w:pPr>
      <w:r>
        <w:rPr>
          <w:bCs/>
          <w:b/>
        </w:rPr>
        <w:t xml:space="preserve">Senior Sustainability Consultant:</w:t>
      </w:r>
      <w:r>
        <w:t xml:space="preserve"> </w:t>
      </w:r>
      <w:r>
        <w:t xml:space="preserve">rpgrvqewxw</w:t>
      </w:r>
    </w:p>
    <w:p>
      <w:pPr>
        <w:pStyle w:val="BodyText"/>
      </w:pPr>
      <w:r>
        <w:t xml:space="preserve">This report is generated based on available data and industry standards. While every effort has been made to ensure accuracy, the results are subject to the limitations of the input data and chosen emission factors.</w:t>
      </w:r>
    </w:p>
    <w:bookmarkEnd w:id="20"/>
    <w:bookmarkEnd w:id="21"/>
    <w:p>
      <w:pPr>
        <w:pStyle w:val="BodyText"/>
      </w:pPr>
      <w:r>
        <w:t xml:space="preserve">Generated Date: May 20, 2026</w:t>
      </w:r>
    </w:p>
    <w:bookmarkStart w:id="22" w:name="executive-summary"/>
    <w:p>
      <w:pPr>
        <w:pStyle w:val="Heading1"/>
      </w:pPr>
      <w:r>
        <w:t xml:space="preserve">Executive Summary</w:t>
      </w:r>
    </w:p>
    <w:p>
      <w:pPr>
        <w:pStyle w:val="FirstParagraph"/>
      </w:pPr>
      <w:r>
        <w:t xml:space="preserve">This report presents a high-detail Product Carbon Footprint (PCF) analysis for</w:t>
      </w:r>
      <w:r>
        <w:t xml:space="preserve"> </w:t>
      </w:r>
      <w:r>
        <w:rPr>
          <w:bCs/>
          <w:b/>
        </w:rPr>
        <w:t xml:space="preserve">nthzezrhdl</w:t>
      </w:r>
      <w:r>
        <w:t xml:space="preserve">, manufactured by</w:t>
      </w:r>
      <w:r>
        <w:t xml:space="preserve"> </w:t>
      </w:r>
      <w:r>
        <w:rPr>
          <w:bCs/>
          <w:b/>
        </w:rPr>
        <w:t xml:space="preserve">xpdizsxppj</w:t>
      </w:r>
      <w:r>
        <w:t xml:space="preserve">. The analysis, conducted by Senior Sustainability Consultant</w:t>
      </w:r>
      <w:r>
        <w:t xml:space="preserve"> </w:t>
      </w:r>
      <w:r>
        <w:rPr>
          <w:bCs/>
          <w:b/>
        </w:rPr>
        <w:t xml:space="preserve">rpgrvqewxw</w:t>
      </w:r>
      <w:r>
        <w:t xml:space="preserve">, adheres to the GHG Protocol accounting standard, categorizing emissions into Scope 1, Scope 2, and Scope 3. The study aims to identify key emission hotspots across the product\'s lifecycle, from material acquisition to end-of-life, within a factory-gate system boundary.</w:t>
      </w:r>
    </w:p>
    <w:p>
      <w:pPr>
        <w:pStyle w:val="BodyText"/>
      </w:pPr>
      <w:r>
        <w:t xml:space="preserve">The total Product Carbon Footprint for one functional unit of nthzezrhdl is estimated to be</w:t>
      </w:r>
      <w:r>
        <w:t xml:space="preserve"> </w:t>
      </w:r>
      <w:r>
        <w:rPr>
          <w:bCs/>
          <w:b/>
        </w:rPr>
        <w:t xml:space="preserve">124.41 kg CO2e</w:t>
      </w:r>
      <w:r>
        <w:t xml:space="preserve">. The majority of emissions are attributed to the product\'s Use Phase, highlighting it as the primary hotspot for intervention. Material production and manufacturing electricity contribute a smaller but significant portion, while End-of-Life scenarios with a high recyclability rate offer carbon savings.</w:t>
      </w:r>
    </w:p>
    <w:p>
      <w:r>
        <w:pict>
          <v:rect style="width:0;height:1.5pt" o:hralign="center" o:hrstd="t" o:hr="t"/>
        </w:pict>
      </w:r>
    </w:p>
    <w:bookmarkEnd w:id="22"/>
    <w:bookmarkStart w:id="25" w:name="introduction-and-scope-definition"/>
    <w:p>
      <w:pPr>
        <w:pStyle w:val="Heading1"/>
      </w:pPr>
      <w:r>
        <w:t xml:space="preserve">1. Introduction and Scope Definition</w:t>
      </w:r>
    </w:p>
    <w:bookmarkStart w:id="23" w:name="introduction"/>
    <w:p>
      <w:pPr>
        <w:pStyle w:val="Heading2"/>
      </w:pPr>
      <w:r>
        <w:t xml:space="preserve">1.1 Introduction</w:t>
      </w:r>
    </w:p>
    <w:p>
      <w:pPr>
        <w:pStyle w:val="FirstParagraph"/>
      </w:pPr>
      <w:r>
        <w:t xml:space="preserve">This Product Carbon Footprint (PCF) report quantifies the greenhouse gas (GHG) emissions associated with the lifecycle of the product</w:t>
      </w:r>
      <w:r>
        <w:t xml:space="preserve"> </w:t>
      </w:r>
      <w:r>
        <w:rPr>
          <w:bCs/>
          <w:b/>
        </w:rPr>
        <w:t xml:space="preserve">nthzezrhdl</w:t>
      </w:r>
      <w:r>
        <w:t xml:space="preserve">, produced by</w:t>
      </w:r>
      <w:r>
        <w:t xml:space="preserve"> </w:t>
      </w:r>
      <w:r>
        <w:rPr>
          <w:bCs/>
          <w:b/>
        </w:rPr>
        <w:t xml:space="preserve">xpdizsxppj</w:t>
      </w:r>
      <w:r>
        <w:t xml:space="preserve">. The analysis follows the globally recognized</w:t>
      </w:r>
      <w:r>
        <w:t xml:space="preserve"> </w:t>
      </w:r>
      <w:r>
        <w:rPr>
          <w:bCs/>
          <w:b/>
        </w:rPr>
        <w:t xml:space="preserve">GHG Protocol Product Standard</w:t>
      </w:r>
      <w:r>
        <w:t xml:space="preserve">, providing a robust and transparent assessment of environmental impacts.</w:t>
      </w:r>
    </w:p>
    <w:bookmarkEnd w:id="23"/>
    <w:bookmarkStart w:id="24" w:name="scope-definition"/>
    <w:p>
      <w:pPr>
        <w:pStyle w:val="Heading2"/>
      </w:pPr>
      <w:r>
        <w:t xml:space="preserve">1.2 Scope Definition</w:t>
      </w:r>
    </w:p>
    <w:p>
      <w:pPr>
        <w:numPr>
          <w:ilvl w:val="0"/>
          <w:numId w:val="1001"/>
        </w:numPr>
        <w:pStyle w:val="Compact"/>
      </w:pPr>
      <w:r>
        <w:rPr>
          <w:bCs/>
          <w:b/>
        </w:rPr>
        <w:t xml:space="preserve">Functional Unit:</w:t>
      </w:r>
      <w:r>
        <w:t xml:space="preserve"> </w:t>
      </w:r>
      <w:r>
        <w:t xml:space="preserve">1.0 unit of nthzezrhdl.</w:t>
      </w:r>
    </w:p>
    <w:p>
      <w:pPr>
        <w:numPr>
          <w:ilvl w:val="0"/>
          <w:numId w:val="1001"/>
        </w:numPr>
        <w:pStyle w:val="Compact"/>
      </w:pPr>
      <w:r>
        <w:rPr>
          <w:bCs/>
          <w:b/>
        </w:rPr>
        <w:t xml:space="preserve">System Boundary:</w:t>
      </w:r>
      <w:r>
        <w:t xml:space="preserve"> </w:t>
      </w:r>
      <w:r>
        <w:t xml:space="preserve">Cradle-to-gate, plus downstream transportation, use, and end-of-life, consistent with a comprehensive product lifecycle assessment (LCA). The primary boundary for manufacturing is defined as \'factory_gate\', meaning direct operational emissions and purchased electricity at the production facility are accounted for, alongside upstream supply chain impacts.</w:t>
      </w:r>
    </w:p>
    <w:p>
      <w:pPr>
        <w:numPr>
          <w:ilvl w:val="0"/>
          <w:numId w:val="1001"/>
        </w:numPr>
        <w:pStyle w:val="Compact"/>
      </w:pPr>
      <w:r>
        <w:rPr>
          <w:bCs/>
          <w:b/>
        </w:rPr>
        <w:t xml:space="preserve">Geographic Scope:</w:t>
      </w:r>
      <w:r>
        <w:t xml:space="preserve"> </w:t>
      </w:r>
      <w:r>
        <w:t xml:space="preserve">Final production country is China, with a supply chain focus on Europe for downstream activities like product use.</w:t>
      </w:r>
    </w:p>
    <w:p>
      <w:pPr>
        <w:numPr>
          <w:ilvl w:val="0"/>
          <w:numId w:val="1001"/>
        </w:numPr>
        <w:pStyle w:val="Compact"/>
      </w:pPr>
      <w:r>
        <w:rPr>
          <w:bCs/>
          <w:b/>
        </w:rPr>
        <w:t xml:space="preserve">Accounting Standard:</w:t>
      </w:r>
      <w:r>
        <w:t xml:space="preserve"> </w:t>
      </w:r>
      <w:r>
        <w:t xml:space="preserve">Greenhouse Gas Protocol (GHG Protocol). This report categorizes emissions according to the GHG Protocol\'s scopes:</w:t>
      </w:r>
    </w:p>
    <w:p>
      <w:pPr>
        <w:numPr>
          <w:ilvl w:val="1"/>
          <w:numId w:val="1002"/>
        </w:numPr>
        <w:pStyle w:val="Compact"/>
      </w:pPr>
      <w:r>
        <w:rPr>
          <w:bCs/>
          <w:b/>
        </w:rPr>
        <w:t xml:space="preserve">Scope 1:</w:t>
      </w:r>
      <w:r>
        <w:t xml:space="preserve"> </w:t>
      </w:r>
      <w:r>
        <w:t xml:space="preserve">Direct GHG emissions from sources owned or controlled by the company.</w:t>
      </w:r>
    </w:p>
    <w:p>
      <w:pPr>
        <w:numPr>
          <w:ilvl w:val="1"/>
          <w:numId w:val="1002"/>
        </w:numPr>
        <w:pStyle w:val="Compact"/>
      </w:pPr>
      <w:r>
        <w:rPr>
          <w:bCs/>
          <w:b/>
        </w:rPr>
        <w:t xml:space="preserve">Scope 2:</w:t>
      </w:r>
      <w:r>
        <w:t xml:space="preserve"> </w:t>
      </w:r>
      <w:r>
        <w:t xml:space="preserve">Indirect GHG emissions from the generation of purchased electricity, steam, heat, or cooling consumed by the company.</w:t>
      </w:r>
    </w:p>
    <w:p>
      <w:pPr>
        <w:numPr>
          <w:ilvl w:val="1"/>
          <w:numId w:val="1002"/>
        </w:numPr>
        <w:pStyle w:val="Compact"/>
      </w:pPr>
      <w:r>
        <w:rPr>
          <w:bCs/>
          <w:b/>
        </w:rPr>
        <w:t xml:space="preserve">Scope 3:</w:t>
      </w:r>
      <w:r>
        <w:t xml:space="preserve"> </w:t>
      </w:r>
      <w:r>
        <w:t xml:space="preserve">All other indirect GHG emissions that occur in the value chain of the reporting company, both upstream and downstream.</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attributable to the product.</w:t>
      </w:r>
    </w:p>
    <w:p>
      <w:pPr>
        <w:numPr>
          <w:ilvl w:val="0"/>
          <w:numId w:val="1001"/>
        </w:numPr>
        <w:pStyle w:val="Compact"/>
      </w:pPr>
      <w:r>
        <w:rPr>
          <w:bCs/>
          <w:b/>
        </w:rPr>
        <w:t xml:space="preserve">2026 LSR Update:</w:t>
      </w:r>
      <w:r>
        <w:t xml:space="preserve"> </w:t>
      </w:r>
      <w:r>
        <w:t xml:space="preserve">The GHG Protocol\'s Land Sector and Removals (LSR) Standard, released on January 30, 2026, and taking effect on January 1, 2027, provides guidelines for accounting for land sector emissions, CO2 removals, and biogenic products. While specific land use data for nthzezrhdl\'s upstream components is not explicitly provided in the BOM, this report acknowledges the significance of the LSR Standard. Full compliance will require detailed data collection on land management practices and biogenic carbon flows within the product\'s value chain, especially for agricultural or forestry-derived materials.</w:t>
      </w:r>
    </w:p>
    <w:p>
      <w:pPr>
        <w:numPr>
          <w:ilvl w:val="0"/>
          <w:numId w:val="1001"/>
        </w:numPr>
        <w:pStyle w:val="Compact"/>
      </w:pPr>
      <w:r>
        <w:rPr>
          <w:bCs/>
          <w:b/>
        </w:rPr>
        <w:t xml:space="preserve">Scope 3 Compliance:</w:t>
      </w:r>
      <w:r>
        <w:t xml:space="preserve"> </w:t>
      </w:r>
      <w:r>
        <w:t xml:space="preserve">This analysis aims for at least 95% coverage for Scope 3 reporting, as per 2026 requirements, by including key upstream (materials, transport) and downstream (use, end-of-life) categories.</w:t>
      </w:r>
    </w:p>
    <w:p>
      <w:r>
        <w:pict>
          <v:rect style="width:0;height:1.5pt" o:hralign="center" o:hrstd="t" o:hr="t"/>
        </w:pict>
      </w:r>
    </w:p>
    <w:bookmarkEnd w:id="24"/>
    <w:bookmarkEnd w:id="25"/>
    <w:bookmarkStart w:id="33" w:name="lifecycle-mapping-and-data-collection"/>
    <w:p>
      <w:pPr>
        <w:pStyle w:val="Heading1"/>
      </w:pPr>
      <w:r>
        <w:t xml:space="preserve">2. Lifecycle Mapping and Data Collection</w:t>
      </w:r>
    </w:p>
    <w:bookmarkStart w:id="26" w:name="lifecycle-stages-lci-inventory"/>
    <w:p>
      <w:pPr>
        <w:pStyle w:val="Heading2"/>
      </w:pPr>
      <w:r>
        <w:t xml:space="preserve">2.1 Lifecycle Stages (LCI Inventory)</w:t>
      </w:r>
    </w:p>
    <w:p>
      <w:pPr>
        <w:pStyle w:val="FirstParagraph"/>
      </w:pPr>
      <w:r>
        <w:t xml:space="preserve">The product lifecycle of nthzezrhdl is mapped through the following stages, encompassing cradle-to-gate (material acquisition to manufacturing) and extending to downstream activities (transportation, use, and end-of-life):</w:t>
      </w:r>
    </w:p>
    <w:p>
      <w:pPr>
        <w:numPr>
          <w:ilvl w:val="0"/>
          <w:numId w:val="1003"/>
        </w:numPr>
        <w:pStyle w:val="Compact"/>
      </w:pPr>
      <w:r>
        <w:rPr>
          <w:bCs/>
          <w:b/>
        </w:rPr>
        <w:t xml:space="preserve">Material Acquisition &amp; Processing:</w:t>
      </w:r>
      <w:r>
        <w:t xml:space="preserve"> </w:t>
      </w:r>
      <w:r>
        <w:t xml:space="preserve">Extraction of raw materials and their transformation into usable components.</w:t>
      </w:r>
    </w:p>
    <w:p>
      <w:pPr>
        <w:numPr>
          <w:ilvl w:val="0"/>
          <w:numId w:val="1003"/>
        </w:numPr>
        <w:pStyle w:val="Compact"/>
      </w:pPr>
      <w:r>
        <w:rPr>
          <w:bCs/>
          <w:b/>
        </w:rPr>
        <w:t xml:space="preserve">Manufacturing:</w:t>
      </w:r>
      <w:r>
        <w:t xml:space="preserve"> </w:t>
      </w:r>
      <w:r>
        <w:t xml:space="preserve">Assembly and fabrication of the product at the xpdizsxppj production facility in China.</w:t>
      </w:r>
    </w:p>
    <w:p>
      <w:pPr>
        <w:numPr>
          <w:ilvl w:val="0"/>
          <w:numId w:val="1003"/>
        </w:numPr>
        <w:pStyle w:val="Compact"/>
      </w:pPr>
      <w:r>
        <w:rPr>
          <w:bCs/>
          <w:b/>
        </w:rPr>
        <w:t xml:space="preserve">Transportation (Upstream):</w:t>
      </w:r>
      <w:r>
        <w:t xml:space="preserve"> </w:t>
      </w:r>
      <w:r>
        <w:t xml:space="preserve">Movement of raw materials and components to the manufacturing facility.</w:t>
      </w:r>
    </w:p>
    <w:p>
      <w:pPr>
        <w:numPr>
          <w:ilvl w:val="0"/>
          <w:numId w:val="1003"/>
        </w:numPr>
        <w:pStyle w:val="Compact"/>
      </w:pPr>
      <w:r>
        <w:rPr>
          <w:bCs/>
          <w:b/>
        </w:rPr>
        <w:t xml:space="preserve">Distribution (Downstream):</w:t>
      </w:r>
      <w:r>
        <w:t xml:space="preserve"> </w:t>
      </w:r>
      <w:r>
        <w:t xml:space="preserve">Shipment of the finished product to the customer.</w:t>
      </w:r>
    </w:p>
    <w:p>
      <w:pPr>
        <w:numPr>
          <w:ilvl w:val="0"/>
          <w:numId w:val="1003"/>
        </w:numPr>
        <w:pStyle w:val="Compact"/>
      </w:pPr>
      <w:r>
        <w:rPr>
          <w:bCs/>
          <w:b/>
        </w:rPr>
        <w:t xml:space="preserve">Use Phase:</w:t>
      </w:r>
      <w:r>
        <w:t xml:space="preserve"> </w:t>
      </w:r>
      <w:r>
        <w:t xml:space="preserve">Energy consumption during the product\'s operational lifespan by the end-user (Europe Focused).</w:t>
      </w:r>
    </w:p>
    <w:p>
      <w:pPr>
        <w:numPr>
          <w:ilvl w:val="0"/>
          <w:numId w:val="1003"/>
        </w:numPr>
        <w:pStyle w:val="Compact"/>
      </w:pPr>
      <w:r>
        <w:rPr>
          <w:bCs/>
          <w:b/>
        </w:rPr>
        <w:t xml:space="preserve">End-of-Life:</w:t>
      </w:r>
      <w:r>
        <w:t xml:space="preserve"> </w:t>
      </w:r>
      <w:r>
        <w:t xml:space="preserve">Disposal, recycling, or recovery processes at the end of the product\'s useful life.</w:t>
      </w:r>
    </w:p>
    <w:bookmarkEnd w:id="26"/>
    <w:bookmarkStart w:id="32" w:name="X7b6d01ce7b6bfe45f00681616505557cddf238f"/>
    <w:p>
      <w:pPr>
        <w:pStyle w:val="Heading2"/>
      </w:pPr>
      <w:r>
        <w:t xml:space="preserve">2.2 Data Collection (Primary/Secondary Data Points)</w:t>
      </w:r>
    </w:p>
    <w:p>
      <w:pPr>
        <w:pStyle w:val="FirstParagraph"/>
      </w:pPr>
      <w:r>
        <w:t xml:space="preserve">The following data points, provided by the user or derived from industry averages, were used for this analysis:</w:t>
      </w:r>
    </w:p>
    <w:bookmarkStart w:id="27" w:name="Xabb180f28da50d9cc6797ea91c83f63eb8816fd"/>
    <w:p>
      <w:pPr>
        <w:pStyle w:val="Heading3"/>
      </w:pPr>
      <w:r>
        <w:t xml:space="preserve">2.2.1 Detailed Bill of Materials (BOM) for txqqegik</w:t>
      </w:r>
    </w:p>
    <w:p>
      <w:pPr>
        <w:pStyle w:val="FirstParagraph"/>
      </w:pPr>
      <w:r>
        <w:t xml:space="preserve">The provided BOM data for</w:t>
      </w:r>
      <w:r>
        <w:t xml:space="preserve"> </w:t>
      </w:r>
      <w:r>
        <w:rPr>
          <w:bCs/>
          <w:b/>
        </w:rPr>
        <w:t xml:space="preserve">nthzezrhdl</w:t>
      </w:r>
      <w:r>
        <w:t xml:space="preserve"> </w:t>
      </w:r>
      <w:r>
        <w:t xml:space="preserve">is detailed below. The \'Total Carbon\' value for each item, derived from \'Qty * Emission Factor\', is directly used for material impact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BOM-001</w:t>
            </w:r>
          </w:p>
        </w:tc>
        <w:tc>
          <w:tcPr/>
          <w:p>
            <w:pPr>
              <w:pStyle w:val="Compact"/>
              <w:jc w:val="left"/>
            </w:pPr>
            <w:r>
              <w:t xml:space="preserve">Main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0.75</w:t>
            </w:r>
          </w:p>
        </w:tc>
        <w:tc>
          <w:tcPr/>
          <w:p>
            <w:pPr>
              <w:pStyle w:val="Compact"/>
              <w:jc w:val="left"/>
            </w:pPr>
            <w:r>
              <w:t xml:space="preserve">kg</w:t>
            </w:r>
          </w:p>
        </w:tc>
        <w:tc>
          <w:tcPr/>
          <w:p>
            <w:pPr>
              <w:pStyle w:val="Compact"/>
              <w:jc w:val="left"/>
            </w:pPr>
            <w:r>
              <w:t xml:space="preserve">2.8</w:t>
            </w:r>
          </w:p>
        </w:tc>
        <w:tc>
          <w:tcPr/>
          <w:p>
            <w:pPr>
              <w:pStyle w:val="Compact"/>
              <w:jc w:val="left"/>
            </w:pPr>
            <w:r>
              <w:t xml:space="preserve">2.1</w:t>
            </w:r>
          </w:p>
        </w:tc>
      </w:tr>
      <w:tr>
        <w:tc>
          <w:tcPr/>
          <w:p>
            <w:pPr>
              <w:pStyle w:val="Compact"/>
              <w:jc w:val="left"/>
            </w:pPr>
            <w:r>
              <w:t xml:space="preserve">BOM-002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BOM-003</w:t>
            </w:r>
          </w:p>
        </w:tc>
        <w:tc>
          <w:tcPr/>
          <w:p>
            <w:pPr>
              <w:pStyle w:val="Compact"/>
              <w:jc w:val="left"/>
            </w:pPr>
            <w:r>
              <w:t xml:space="preserve">Packaging</w:t>
            </w:r>
          </w:p>
        </w:tc>
        <w:tc>
          <w:tcPr/>
          <w:p>
            <w:pPr>
              <w:pStyle w:val="Compact"/>
              <w:jc w:val="left"/>
            </w:pPr>
            <w:r>
              <w:t xml:space="preserve">Cardboard</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w:t>
            </w:r>
          </w:p>
        </w:tc>
      </w:tr>
    </w:tbl>
    <w:bookmarkEnd w:id="27"/>
    <w:bookmarkStart w:id="28" w:name="logistics-data"/>
    <w:p>
      <w:pPr>
        <w:pStyle w:val="Heading3"/>
      </w:pPr>
      <w:r>
        <w:t xml:space="preserve">2.2.2 Logistics Data</w:t>
      </w:r>
    </w:p>
    <w:p>
      <w:pPr>
        <w:numPr>
          <w:ilvl w:val="0"/>
          <w:numId w:val="1004"/>
        </w:numPr>
        <w:pStyle w:val="Compact"/>
      </w:pPr>
      <w:r>
        <w:rPr>
          <w:bCs/>
          <w:b/>
        </w:rPr>
        <w:t xml:space="preserve">Transport Mode (Upstream/Downstream):</w:t>
      </w:r>
      <w:r>
        <w:t xml:space="preserve"> </w:t>
      </w:r>
      <w:r>
        <w:t xml:space="preserve">Road Freight (Select Mode)</w:t>
      </w:r>
    </w:p>
    <w:p>
      <w:pPr>
        <w:numPr>
          <w:ilvl w:val="0"/>
          <w:numId w:val="1004"/>
        </w:numPr>
        <w:pStyle w:val="Compact"/>
      </w:pPr>
      <w:r>
        <w:rPr>
          <w:bCs/>
          <w:b/>
        </w:rPr>
        <w:t xml:space="preserve">Transport Distance (Upstream):</w:t>
      </w:r>
      <w:r>
        <w:t xml:space="preserve"> </w:t>
      </w:r>
      <w:r>
        <w:t xml:space="preserve">1500 km (jeonqikwju)</w:t>
      </w:r>
    </w:p>
    <w:p>
      <w:pPr>
        <w:numPr>
          <w:ilvl w:val="0"/>
          <w:numId w:val="1004"/>
        </w:numPr>
        <w:pStyle w:val="Compact"/>
      </w:pPr>
      <w:r>
        <w:rPr>
          <w:bCs/>
          <w:b/>
        </w:rPr>
        <w:t xml:space="preserve">Last-Mile Delivery Channel (Downstream):</w:t>
      </w:r>
      <w:r>
        <w:t xml:space="preserve"> </w:t>
      </w:r>
      <w:r>
        <w:t xml:space="preserve">Standard Parcel Service (Delivery Type)</w:t>
      </w:r>
    </w:p>
    <w:p>
      <w:pPr>
        <w:numPr>
          <w:ilvl w:val="0"/>
          <w:numId w:val="1004"/>
        </w:numPr>
        <w:pStyle w:val="Compact"/>
      </w:pPr>
      <w:r>
        <w:rPr>
          <w:bCs/>
          <w:b/>
        </w:rPr>
        <w:t xml:space="preserve">Estimated Total Product Weight for Transport:</w:t>
      </w:r>
      <w:r>
        <w:t xml:space="preserve"> </w:t>
      </w:r>
      <w:r>
        <w:t xml:space="preserve">1.05 kg (sum of Qty: 0.75kg Plastics + 0.1kg Electronics + 0.2kg Cardboard)</w:t>
      </w:r>
    </w:p>
    <w:bookmarkEnd w:id="28"/>
    <w:bookmarkStart w:id="29" w:name="Xf018761ec5c387a04adae8eea50382488e62a40"/>
    <w:p>
      <w:pPr>
        <w:pStyle w:val="Heading3"/>
      </w:pPr>
      <w:r>
        <w:t xml:space="preserve">2.2.3 Production Energy Data (Manufacturing in China)</w:t>
      </w:r>
    </w:p>
    <w:p>
      <w:pPr>
        <w:numPr>
          <w:ilvl w:val="0"/>
          <w:numId w:val="1005"/>
        </w:numPr>
        <w:pStyle w:val="Compact"/>
      </w:pPr>
      <w:r>
        <w:rPr>
          <w:bCs/>
          <w:b/>
        </w:rPr>
        <w:t xml:space="preserve">Renewable Energy Usage:</w:t>
      </w:r>
      <w:r>
        <w:t xml:space="preserve"> </w:t>
      </w:r>
      <w:r>
        <w:t xml:space="preserve">70% (vrrnqqhgnj)</w:t>
      </w:r>
    </w:p>
    <w:p>
      <w:pPr>
        <w:numPr>
          <w:ilvl w:val="0"/>
          <w:numId w:val="1005"/>
        </w:numPr>
        <w:pStyle w:val="Compact"/>
      </w:pPr>
      <w:r>
        <w:rPr>
          <w:bCs/>
          <w:b/>
        </w:rPr>
        <w:t xml:space="preserve">Energy Intensity (kWh/unit):</w:t>
      </w:r>
      <w:r>
        <w:t xml:space="preserve"> </w:t>
      </w:r>
      <w:r>
        <w:t xml:space="preserve">1.5 kWh/unit (ydffkjxxip)</w:t>
      </w:r>
    </w:p>
    <w:p>
      <w:pPr>
        <w:numPr>
          <w:ilvl w:val="0"/>
          <w:numId w:val="1005"/>
        </w:numPr>
        <w:pStyle w:val="Compact"/>
      </w:pPr>
      <w:r>
        <w:rPr>
          <w:bCs/>
          <w:b/>
        </w:rPr>
        <w:t xml:space="preserve">Assumed China Grid Emission Factor:</w:t>
      </w:r>
      <w:r>
        <w:t xml:space="preserve"> </w:t>
      </w:r>
      <w:r>
        <w:t xml:space="preserve">0.6205 kg CO2e/kWh (2023 national average).</w:t>
      </w:r>
    </w:p>
    <w:bookmarkEnd w:id="29"/>
    <w:bookmarkStart w:id="30" w:name="use-phase-data-user-in-europe"/>
    <w:p>
      <w:pPr>
        <w:pStyle w:val="Heading3"/>
      </w:pPr>
      <w:r>
        <w:t xml:space="preserve">2.2.4 Use Phase Data (User in Europe)</w:t>
      </w:r>
    </w:p>
    <w:p>
      <w:pPr>
        <w:numPr>
          <w:ilvl w:val="0"/>
          <w:numId w:val="1006"/>
        </w:numPr>
        <w:pStyle w:val="Compact"/>
      </w:pPr>
      <w:r>
        <w:rPr>
          <w:bCs/>
          <w:b/>
        </w:rPr>
        <w:t xml:space="preserve">Product Lifespan:</w:t>
      </w:r>
      <w:r>
        <w:t xml:space="preserve"> </w:t>
      </w:r>
      <w:r>
        <w:t xml:space="preserve">5 years (hpnkpfuxxv)</w:t>
      </w:r>
    </w:p>
    <w:p>
      <w:pPr>
        <w:numPr>
          <w:ilvl w:val="0"/>
          <w:numId w:val="1006"/>
        </w:numPr>
        <w:pStyle w:val="Compact"/>
      </w:pPr>
      <w:r>
        <w:rPr>
          <w:bCs/>
          <w:b/>
        </w:rPr>
        <w:t xml:space="preserve">Energy Consumption in Use:</w:t>
      </w:r>
      <w:r>
        <w:t xml:space="preserve"> </w:t>
      </w:r>
      <w:r>
        <w:t xml:space="preserve">100 kWh/year (yiqnrsvltk)</w:t>
      </w:r>
    </w:p>
    <w:p>
      <w:pPr>
        <w:numPr>
          <w:ilvl w:val="0"/>
          <w:numId w:val="1006"/>
        </w:numPr>
        <w:pStyle w:val="Compact"/>
      </w:pPr>
      <w:r>
        <w:rPr>
          <w:bCs/>
          <w:b/>
        </w:rPr>
        <w:t xml:space="preserve">Assumed European Union Grid Emission Factor:</w:t>
      </w:r>
      <w:r>
        <w:t xml:space="preserve"> </w:t>
      </w:r>
      <w:r>
        <w:t xml:space="preserve">0.242 kg CO2e/kWh (EU-27 average, 2023).</w:t>
      </w:r>
    </w:p>
    <w:bookmarkEnd w:id="30"/>
    <w:bookmarkStart w:id="31" w:name="end-of-life-eol-data"/>
    <w:p>
      <w:pPr>
        <w:pStyle w:val="Heading3"/>
      </w:pPr>
      <w:r>
        <w:t xml:space="preserve">2.2.5 End-of-Life (EoL) Data</w:t>
      </w:r>
    </w:p>
    <w:p>
      <w:pPr>
        <w:numPr>
          <w:ilvl w:val="0"/>
          <w:numId w:val="1007"/>
        </w:numPr>
        <w:pStyle w:val="Compact"/>
      </w:pPr>
      <w:r>
        <w:rPr>
          <w:bCs/>
          <w:b/>
        </w:rPr>
        <w:t xml:space="preserve">Recyclability Percentage:</w:t>
      </w:r>
      <w:r>
        <w:t xml:space="preserve"> </w:t>
      </w:r>
      <w:r>
        <w:t xml:space="preserve">80% (qmtqjwtpyr)</w:t>
      </w:r>
    </w:p>
    <w:p>
      <w:pPr>
        <w:numPr>
          <w:ilvl w:val="0"/>
          <w:numId w:val="1007"/>
        </w:numPr>
        <w:pStyle w:val="Compact"/>
      </w:pPr>
      <w:r>
        <w:rPr>
          <w:bCs/>
          <w:b/>
        </w:rPr>
        <w:t xml:space="preserve">Circular/Take-back Programs:</w:t>
      </w:r>
      <w:r>
        <w:t xml:space="preserve"> </w:t>
      </w:r>
      <w:r>
        <w:t xml:space="preserve">Company offers a take-back program for end-of-life products, facilitating material recovery (nydwglopou).</w:t>
      </w:r>
    </w:p>
    <w:p>
      <w:r>
        <w:pict>
          <v:rect style="width:0;height:1.5pt" o:hralign="center" o:hrstd="t" o:hr="t"/>
        </w:pict>
      </w:r>
    </w:p>
    <w:bookmarkEnd w:id="31"/>
    <w:bookmarkEnd w:id="32"/>
    <w:bookmarkEnd w:id="33"/>
    <w:bookmarkStart w:id="39" w:name="emission-calculations"/>
    <w:p>
      <w:pPr>
        <w:pStyle w:val="Heading1"/>
      </w:pPr>
      <w:r>
        <w:t xml:space="preserve">3. Emission Calculations</w:t>
      </w:r>
    </w:p>
    <w:p>
      <w:pPr>
        <w:pStyle w:val="FirstParagraph"/>
      </w:pPr>
      <w:r>
        <w:t xml:space="preserve">Emissions are calculated for each lifecycle stage by multiplying activity data by relevant emission factors. Industry-standard emission factors, such as those from DEFRA or Ecoinvent (as available from search results), are utilized.</w:t>
      </w:r>
    </w:p>
    <w:bookmarkStart w:id="34" w:name="Xdee8365473cb49de22ce0d7cc5ff18eecf62148"/>
    <w:p>
      <w:pPr>
        <w:pStyle w:val="Heading2"/>
      </w:pPr>
      <w:r>
        <w:t xml:space="preserve">3.1 Material Acquisition and Processing (Scope 3 - Upstream)</w:t>
      </w:r>
    </w:p>
    <w:p>
      <w:pPr>
        <w:pStyle w:val="FirstParagraph"/>
      </w:pPr>
      <w:r>
        <w:t xml:space="preserve">Emissions from the production of raw materials are directly taken from the \'Total Carbon\' values provided in the Detailed Bill of Materials (BOM), which already incorporates quantities and specific emission factors for each material and process.</w:t>
      </w:r>
    </w:p>
    <w:p>
      <w:pPr>
        <w:numPr>
          <w:ilvl w:val="0"/>
          <w:numId w:val="1008"/>
        </w:numPr>
        <w:pStyle w:val="Compact"/>
      </w:pPr>
      <w:r>
        <w:rPr>
          <w:bCs/>
          <w:b/>
        </w:rPr>
        <w:t xml:space="preserve">Plastics (Main Casing):</w:t>
      </w:r>
      <w:r>
        <w:t xml:space="preserve"> </w:t>
      </w:r>
      <w:r>
        <w:t xml:space="preserve">2.1 kgCO2e</w:t>
      </w:r>
    </w:p>
    <w:p>
      <w:pPr>
        <w:numPr>
          <w:ilvl w:val="0"/>
          <w:numId w:val="1008"/>
        </w:numPr>
        <w:pStyle w:val="Compact"/>
      </w:pPr>
      <w:r>
        <w:rPr>
          <w:bCs/>
          <w:b/>
        </w:rPr>
        <w:t xml:space="preserve">Electronics (Circuit Board):</w:t>
      </w:r>
      <w:r>
        <w:t xml:space="preserve"> </w:t>
      </w:r>
      <w:r>
        <w:t xml:space="preserve">1.5 kgCO2e</w:t>
      </w:r>
    </w:p>
    <w:p>
      <w:pPr>
        <w:numPr>
          <w:ilvl w:val="0"/>
          <w:numId w:val="1008"/>
        </w:numPr>
        <w:pStyle w:val="Compact"/>
      </w:pPr>
      <w:r>
        <w:rPr>
          <w:bCs/>
          <w:b/>
        </w:rPr>
        <w:t xml:space="preserve">Cardboard (Packaging):</w:t>
      </w:r>
      <w:r>
        <w:t xml:space="preserve"> </w:t>
      </w:r>
      <w:r>
        <w:t xml:space="preserve">0.1 kgCO2e</w:t>
      </w:r>
    </w:p>
    <w:p>
      <w:pPr>
        <w:pStyle w:val="FirstParagraph"/>
      </w:pPr>
      <w:r>
        <w:rPr>
          <w:bCs/>
          <w:b/>
        </w:rPr>
        <w:t xml:space="preserve">Total Material Emissions: 3.7 kgCO2e</w:t>
      </w:r>
    </w:p>
    <w:bookmarkEnd w:id="34"/>
    <w:bookmarkStart w:id="35" w:name="transportation-scope-3---upstream"/>
    <w:p>
      <w:pPr>
        <w:pStyle w:val="Heading2"/>
      </w:pPr>
      <w:r>
        <w:t xml:space="preserve">3.2 Transportation (Scope 3 - Upstream)</w:t>
      </w:r>
    </w:p>
    <w:p>
      <w:pPr>
        <w:pStyle w:val="FirstParagraph"/>
      </w:pPr>
      <w:r>
        <w:t xml:space="preserve">This accounts for the transportation of components and materials to the manufacturing facility in China.</w:t>
      </w:r>
    </w:p>
    <w:p>
      <w:pPr>
        <w:numPr>
          <w:ilvl w:val="0"/>
          <w:numId w:val="1009"/>
        </w:numPr>
        <w:pStyle w:val="Compact"/>
      </w:pPr>
      <w:r>
        <w:rPr>
          <w:bCs/>
          <w:b/>
        </w:rPr>
        <w:t xml:space="preserve">Product Weight:</w:t>
      </w:r>
      <w:r>
        <w:t xml:space="preserve"> </w:t>
      </w:r>
      <w:r>
        <w:t xml:space="preserve">1.05 kg = 0.00105 tonnes</w:t>
      </w:r>
    </w:p>
    <w:p>
      <w:pPr>
        <w:numPr>
          <w:ilvl w:val="0"/>
          <w:numId w:val="1009"/>
        </w:numPr>
        <w:pStyle w:val="Compact"/>
      </w:pPr>
      <w:r>
        <w:rPr>
          <w:bCs/>
          <w:b/>
        </w:rPr>
        <w:t xml:space="preserve">Transport Distance:</w:t>
      </w:r>
      <w:r>
        <w:t xml:space="preserve"> </w:t>
      </w:r>
      <w:r>
        <w:t xml:space="preserve">1500 km</w:t>
      </w:r>
    </w:p>
    <w:p>
      <w:pPr>
        <w:numPr>
          <w:ilvl w:val="0"/>
          <w:numId w:val="1009"/>
        </w:numPr>
        <w:pStyle w:val="Compact"/>
      </w:pPr>
      <w:r>
        <w:rPr>
          <w:bCs/>
          <w:b/>
        </w:rPr>
        <w:t xml:space="preserve">Emission Factor (Road Freight, EU average):</w:t>
      </w:r>
      <w:r>
        <w:t xml:space="preserve"> </w:t>
      </w:r>
      <w:r>
        <w:t xml:space="preserve">0.062 kg CO2e/tonne-km.</w:t>
      </w:r>
    </w:p>
    <w:p>
      <w:pPr>
        <w:pStyle w:val="FirstParagraph"/>
      </w:pPr>
      <w:r>
        <w:rPr>
          <w:bCs/>
          <w:b/>
        </w:rPr>
        <w:t xml:space="preserve">Calculation:</w:t>
      </w:r>
      <w:r>
        <w:t xml:space="preserve"> </w:t>
      </w:r>
      <w:r>
        <w:t xml:space="preserve">0.00105 tonnes * 1500 km * 0.062 kg CO2e/tonne-km = 0.09765 kgCO2e</w:t>
      </w:r>
    </w:p>
    <w:p>
      <w:pPr>
        <w:pStyle w:val="BodyText"/>
      </w:pPr>
      <w:r>
        <w:rPr>
          <w:bCs/>
          <w:b/>
        </w:rPr>
        <w:t xml:space="preserve">Total Upstream Transport Emissions: 0.09765 kgCO2e</w:t>
      </w:r>
    </w:p>
    <w:bookmarkEnd w:id="35"/>
    <w:bookmarkStart w:id="36" w:name="manufacturing-production-in-china"/>
    <w:p>
      <w:pPr>
        <w:pStyle w:val="Heading2"/>
      </w:pPr>
      <w:r>
        <w:t xml:space="preserve">3.3 Manufacturing (Production in China)</w:t>
      </w:r>
    </w:p>
    <w:p>
      <w:pPr>
        <w:pStyle w:val="FirstParagraph"/>
      </w:pPr>
      <w:r>
        <w:t xml:space="preserve">This category covers the emissions from purchased electricity during the manufacturing process.</w:t>
      </w:r>
    </w:p>
    <w:p>
      <w:pPr>
        <w:numPr>
          <w:ilvl w:val="0"/>
          <w:numId w:val="1010"/>
        </w:numPr>
        <w:pStyle w:val="Compact"/>
      </w:pPr>
      <w:r>
        <w:rPr>
          <w:bCs/>
          <w:b/>
        </w:rPr>
        <w:t xml:space="preserve">Energy Intensity:</w:t>
      </w:r>
      <w:r>
        <w:t xml:space="preserve"> </w:t>
      </w:r>
      <w:r>
        <w:t xml:space="preserve">1.5 kWh/unit</w:t>
      </w:r>
    </w:p>
    <w:p>
      <w:pPr>
        <w:numPr>
          <w:ilvl w:val="0"/>
          <w:numId w:val="1010"/>
        </w:numPr>
        <w:pStyle w:val="Compact"/>
      </w:pPr>
      <w:r>
        <w:rPr>
          <w:bCs/>
          <w:b/>
        </w:rPr>
        <w:t xml:space="preserve">Renewable Energy Usage:</w:t>
      </w:r>
      <w:r>
        <w:t xml:space="preserve"> </w:t>
      </w:r>
      <w:r>
        <w:t xml:space="preserve">70%</w:t>
      </w:r>
    </w:p>
    <w:p>
      <w:pPr>
        <w:numPr>
          <w:ilvl w:val="0"/>
          <w:numId w:val="1010"/>
        </w:numPr>
        <w:pStyle w:val="Compact"/>
      </w:pPr>
      <w:r>
        <w:rPr>
          <w:bCs/>
          <w:b/>
        </w:rPr>
        <w:t xml:space="preserve">Non-Renewable Energy Share:</w:t>
      </w:r>
      <w:r>
        <w:t xml:space="preserve"> </w:t>
      </w:r>
      <w:r>
        <w:t xml:space="preserve">100% - 70% = 30%</w:t>
      </w:r>
    </w:p>
    <w:p>
      <w:pPr>
        <w:numPr>
          <w:ilvl w:val="0"/>
          <w:numId w:val="1010"/>
        </w:numPr>
        <w:pStyle w:val="Compact"/>
      </w:pPr>
      <w:r>
        <w:rPr>
          <w:bCs/>
          <w:b/>
        </w:rPr>
        <w:t xml:space="preserve">China Grid Emission Factor:</w:t>
      </w:r>
      <w:r>
        <w:t xml:space="preserve"> </w:t>
      </w:r>
      <w:r>
        <w:t xml:space="preserve">0.6205 kg CO2e/kWh (2023 national average).</w:t>
      </w:r>
    </w:p>
    <w:p>
      <w:pPr>
        <w:pStyle w:val="FirstParagraph"/>
      </w:pPr>
      <w:r>
        <w:rPr>
          <w:bCs/>
          <w:b/>
        </w:rPr>
        <w:t xml:space="preserve">Calculation:</w:t>
      </w:r>
      <w:r>
        <w:t xml:space="preserve"> </w:t>
      </w:r>
      <w:r>
        <w:t xml:space="preserve">1.5 kWh/unit * 0.30 * 0.6205 kg CO2e/kWh = 0.279225 kgCO2e</w:t>
      </w:r>
    </w:p>
    <w:p>
      <w:pPr>
        <w:pStyle w:val="BodyText"/>
      </w:pPr>
      <w:r>
        <w:rPr>
          <w:bCs/>
          <w:b/>
        </w:rPr>
        <w:t xml:space="preserve">Total Production Electricity Emissions (Scope 2): 0.279225 kgCO2e</w:t>
      </w:r>
    </w:p>
    <w:p>
      <w:pPr>
        <w:pStyle w:val="BodyText"/>
      </w:pPr>
      <w:r>
        <w:rPr>
          <w:iCs/>
          <w:i/>
        </w:rPr>
        <w:t xml:space="preserve">Note: Direct (Scope 1) emissions from manufacturing operations are assumed negligible within the \'factory_gate\' boundary and without specific process fuel consumption data.</w:t>
      </w:r>
    </w:p>
    <w:bookmarkEnd w:id="36"/>
    <w:bookmarkStart w:id="37" w:name="use-phase-scope-3---downstream"/>
    <w:p>
      <w:pPr>
        <w:pStyle w:val="Heading2"/>
      </w:pPr>
      <w:r>
        <w:t xml:space="preserve">3.4 Use Phase (Scope 3 - Downstream)</w:t>
      </w:r>
    </w:p>
    <w:p>
      <w:pPr>
        <w:pStyle w:val="FirstParagraph"/>
      </w:pPr>
      <w:r>
        <w:t xml:space="preserve">Emissions generated from the electricity consumption of the product during its operational lifespan in Europe.</w:t>
      </w:r>
    </w:p>
    <w:p>
      <w:pPr>
        <w:numPr>
          <w:ilvl w:val="0"/>
          <w:numId w:val="1011"/>
        </w:numPr>
        <w:pStyle w:val="Compact"/>
      </w:pPr>
      <w:r>
        <w:rPr>
          <w:bCs/>
          <w:b/>
        </w:rPr>
        <w:t xml:space="preserve">Product Lifespan:</w:t>
      </w:r>
      <w:r>
        <w:t xml:space="preserve"> </w:t>
      </w:r>
      <w:r>
        <w:t xml:space="preserve">5 years</w:t>
      </w:r>
    </w:p>
    <w:p>
      <w:pPr>
        <w:numPr>
          <w:ilvl w:val="0"/>
          <w:numId w:val="1011"/>
        </w:numPr>
        <w:pStyle w:val="Compact"/>
      </w:pPr>
      <w:r>
        <w:rPr>
          <w:bCs/>
          <w:b/>
        </w:rPr>
        <w:t xml:space="preserve">Energy Consumption in Use:</w:t>
      </w:r>
      <w:r>
        <w:t xml:space="preserve"> </w:t>
      </w:r>
      <w:r>
        <w:t xml:space="preserve">100 kWh/year</w:t>
      </w:r>
    </w:p>
    <w:p>
      <w:pPr>
        <w:numPr>
          <w:ilvl w:val="0"/>
          <w:numId w:val="1011"/>
        </w:numPr>
        <w:pStyle w:val="Compact"/>
      </w:pPr>
      <w:r>
        <w:rPr>
          <w:bCs/>
          <w:b/>
        </w:rPr>
        <w:t xml:space="preserve">EU Grid Emission Factor:</w:t>
      </w:r>
      <w:r>
        <w:t xml:space="preserve"> </w:t>
      </w:r>
      <w:r>
        <w:t xml:space="preserve">0.242 kg CO2e/kWh (EU-27 average, 2023).</w:t>
      </w:r>
    </w:p>
    <w:p>
      <w:pPr>
        <w:pStyle w:val="FirstParagraph"/>
      </w:pPr>
      <w:r>
        <w:rPr>
          <w:bCs/>
          <w:b/>
        </w:rPr>
        <w:t xml:space="preserve">Calculation:</w:t>
      </w:r>
      <w:r>
        <w:t xml:space="preserve"> </w:t>
      </w:r>
      <w:r>
        <w:t xml:space="preserve">100 kWh/year * 5 years * 0.242 kg CO2e/kWh = 121 kgCO2e</w:t>
      </w:r>
    </w:p>
    <w:p>
      <w:pPr>
        <w:pStyle w:val="BodyText"/>
      </w:pPr>
      <w:r>
        <w:rPr>
          <w:bCs/>
          <w:b/>
        </w:rPr>
        <w:t xml:space="preserve">Total Use Phase Emissions (Scope 3): 121 kgCO2e</w:t>
      </w:r>
    </w:p>
    <w:bookmarkEnd w:id="37"/>
    <w:bookmarkStart w:id="38" w:name="end-of-life-eol-scope-3---downstream"/>
    <w:p>
      <w:pPr>
        <w:pStyle w:val="Heading2"/>
      </w:pPr>
      <w:r>
        <w:t xml:space="preserve">3.5 End-of-Life (EoL) (Scope 3 - Downstream)</w:t>
      </w:r>
    </w:p>
    <w:p>
      <w:pPr>
        <w:pStyle w:val="FirstParagraph"/>
      </w:pPr>
      <w:r>
        <w:t xml:space="preserve">This accounts for the impacts of recycling and disposal. With a high recyclability percentage, significant avoided emissions are expected.</w:t>
      </w:r>
    </w:p>
    <w:p>
      <w:pPr>
        <w:numPr>
          <w:ilvl w:val="0"/>
          <w:numId w:val="1012"/>
        </w:numPr>
        <w:pStyle w:val="Compact"/>
      </w:pPr>
      <w:r>
        <w:rPr>
          <w:bCs/>
          <w:b/>
        </w:rPr>
        <w:t xml:space="preserve">Total Product Weight:</w:t>
      </w:r>
      <w:r>
        <w:t xml:space="preserve"> </w:t>
      </w:r>
      <w:r>
        <w:t xml:space="preserve">1.05 kg</w:t>
      </w:r>
    </w:p>
    <w:p>
      <w:pPr>
        <w:numPr>
          <w:ilvl w:val="0"/>
          <w:numId w:val="1012"/>
        </w:numPr>
        <w:pStyle w:val="Compact"/>
      </w:pPr>
      <w:r>
        <w:rPr>
          <w:bCs/>
          <w:b/>
        </w:rPr>
        <w:t xml:space="preserve">Recyclability Percentage:</w:t>
      </w:r>
      <w:r>
        <w:t xml:space="preserve"> </w:t>
      </w:r>
      <w:r>
        <w:t xml:space="preserve">80%</w:t>
      </w:r>
    </w:p>
    <w:p>
      <w:pPr>
        <w:numPr>
          <w:ilvl w:val="0"/>
          <w:numId w:val="1012"/>
        </w:numPr>
        <w:pStyle w:val="Compact"/>
      </w:pPr>
      <w:r>
        <w:rPr>
          <w:bCs/>
          <w:b/>
        </w:rPr>
        <w:t xml:space="preserve">Weight of Recycled Material:</w:t>
      </w:r>
      <w:r>
        <w:t xml:space="preserve"> </w:t>
      </w:r>
      <w:r>
        <w:t xml:space="preserve">1.05 kg * 0.80 = 0.84 kg</w:t>
      </w:r>
    </w:p>
    <w:p>
      <w:pPr>
        <w:numPr>
          <w:ilvl w:val="0"/>
          <w:numId w:val="1012"/>
        </w:numPr>
        <w:pStyle w:val="Compact"/>
      </w:pPr>
      <w:r>
        <w:rPr>
          <w:bCs/>
          <w:b/>
        </w:rPr>
        <w:t xml:space="preserve">Assumed Proportion of Plastics in Recycled Portion:</w:t>
      </w:r>
      <w:r>
        <w:t xml:space="preserve"> </w:t>
      </w:r>
      <w:r>
        <w:t xml:space="preserve">(0.75 kg / 1.05 kg) * 0.84 kg = 0.6 kg</w:t>
      </w:r>
    </w:p>
    <w:p>
      <w:pPr>
        <w:numPr>
          <w:ilvl w:val="0"/>
          <w:numId w:val="1012"/>
        </w:numPr>
        <w:pStyle w:val="Compact"/>
      </w:pPr>
      <w:r>
        <w:rPr>
          <w:bCs/>
          <w:b/>
        </w:rPr>
        <w:t xml:space="preserve">Assumed Proportion of Cardboard in Recycled Portion:</w:t>
      </w:r>
      <w:r>
        <w:t xml:space="preserve"> </w:t>
      </w:r>
      <w:r>
        <w:t xml:space="preserve">(0.2 kg / 1.05 kg) * 0.84 kg = 0.16 kg</w:t>
      </w:r>
    </w:p>
    <w:p>
      <w:pPr>
        <w:pStyle w:val="FirstParagraph"/>
      </w:pPr>
      <w:r>
        <w:rPr>
          <w:bCs/>
          <w:b/>
        </w:rPr>
        <w:t xml:space="preserve">Avoided Emissions from Recycling:</w:t>
      </w:r>
    </w:p>
    <w:p>
      <w:pPr>
        <w:numPr>
          <w:ilvl w:val="0"/>
          <w:numId w:val="1013"/>
        </w:numPr>
        <w:pStyle w:val="Compact"/>
      </w:pPr>
      <w:r>
        <w:rPr>
          <w:bCs/>
          <w:b/>
        </w:rPr>
        <w:t xml:space="preserve">Plastic Recycling:</w:t>
      </w:r>
      <w:r>
        <w:t xml:space="preserve"> </w:t>
      </w:r>
      <w:r>
        <w:t xml:space="preserve">0.6 kg * -1.08 kg CO2e/kg = -0.648 kgCO2e. (Note: Negative value represents avoided emissions/savings).</w:t>
      </w:r>
    </w:p>
    <w:p>
      <w:pPr>
        <w:numPr>
          <w:ilvl w:val="0"/>
          <w:numId w:val="1013"/>
        </w:numPr>
        <w:pStyle w:val="Compact"/>
      </w:pPr>
      <w:r>
        <w:rPr>
          <w:bCs/>
          <w:b/>
        </w:rPr>
        <w:t xml:space="preserve">Cardboard Recycling:</w:t>
      </w:r>
      <w:r>
        <w:t xml:space="preserve"> </w:t>
      </w:r>
      <w:r>
        <w:t xml:space="preserve">0.16 kg * -0.12 kg CO2e/kg = -0.0192 kgCO2e.</w:t>
      </w:r>
    </w:p>
    <w:p>
      <w:pPr>
        <w:pStyle w:val="FirstParagraph"/>
      </w:pPr>
      <w:r>
        <w:rPr>
          <w:iCs/>
          <w:i/>
        </w:rPr>
        <w:t xml:space="preserve">Note: Avoided emissions for recycled electronics are not calculated due to the lack of specific, directly applicable emission factors in the search results. Emissions from the disposal of the non-recycled portion (20% of 1.05 kg = 0.21 kg) are considered negligible for this high-level analysis, focusing on the more impactful avoided emissions.</w:t>
      </w:r>
    </w:p>
    <w:p>
      <w:pPr>
        <w:pStyle w:val="BodyText"/>
      </w:pPr>
      <w:r>
        <w:rPr>
          <w:bCs/>
          <w:b/>
        </w:rPr>
        <w:t xml:space="preserve">Total End-of-Life (Net Avoided) Emissions (Scope 3): -0.648 kgCO2e + (-0.0192 kgCO2e) = -0.6672 kgCO2e</w:t>
      </w:r>
    </w:p>
    <w:p>
      <w:pPr>
        <w:pStyle w:val="BodyText"/>
      </w:pPr>
      <w:r>
        <w:t xml:space="preserve">The company\'s commitment to</w:t>
      </w:r>
      <w:r>
        <w:t xml:space="preserve"> </w:t>
      </w:r>
      <w:r>
        <w:rPr>
          <w:bCs/>
          <w:b/>
        </w:rPr>
        <w:t xml:space="preserve">Circular/Take-back Programs</w:t>
      </w:r>
      <w:r>
        <w:t xml:space="preserve"> </w:t>
      </w:r>
      <w:r>
        <w:t xml:space="preserve">(nydwglopou) further enhances the product\'s circularity and can potentially increase material recovery and avoided emissions beyond the 80% recyclability rate, though not quantified here.</w:t>
      </w:r>
    </w:p>
    <w:p>
      <w:r>
        <w:pict>
          <v:rect style="width:0;height:1.5pt" o:hralign="center" o:hrstd="t" o:hr="t"/>
        </w:pict>
      </w:r>
    </w:p>
    <w:bookmarkEnd w:id="38"/>
    <w:bookmarkEnd w:id="39"/>
    <w:bookmarkStart w:id="42" w:name="product-carbon-footprint-summary"/>
    <w:p>
      <w:pPr>
        <w:pStyle w:val="Heading1"/>
      </w:pPr>
      <w:r>
        <w:t xml:space="preserve">4. Product Carbon Footprint Summary</w:t>
      </w:r>
    </w:p>
    <w:p>
      <w:pPr>
        <w:pStyle w:val="FirstParagraph"/>
      </w:pPr>
      <w:r>
        <w:t xml:space="preserve">The total Product Carbon Footprint for one functional unit of</w:t>
      </w:r>
      <w:r>
        <w:t xml:space="preserve"> </w:t>
      </w:r>
      <w:r>
        <w:rPr>
          <w:bCs/>
          <w:b/>
        </w:rPr>
        <w:t xml:space="preserve">nthzezrhdl</w:t>
      </w:r>
      <w:r>
        <w:t xml:space="preserve"> </w:t>
      </w:r>
      <w:r>
        <w:t xml:space="preserve">is summarized below, broken down by GHG Protocol scopes and lifecycle stages.</w:t>
      </w:r>
    </w:p>
    <w:bookmarkStart w:id="40" w:name="emissions-by-ghg-protocol-scope"/>
    <w:p>
      <w:pPr>
        <w:pStyle w:val="Heading2"/>
      </w:pPr>
      <w:r>
        <w:t xml:space="preserve">4.1 Emissions by GHG Protocol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from owned/controlled sources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Indirect emissions from purchased electricity (Production)</w:t>
            </w:r>
          </w:p>
        </w:tc>
        <w:tc>
          <w:tcPr/>
          <w:p>
            <w:pPr>
              <w:pStyle w:val="Compact"/>
              <w:jc w:val="left"/>
            </w:pPr>
            <w:r>
              <w:t xml:space="preserve">0.28</w:t>
            </w:r>
          </w:p>
        </w:tc>
        <w:tc>
          <w:tcPr/>
          <w:p>
            <w:pPr>
              <w:pStyle w:val="Compact"/>
              <w:jc w:val="left"/>
            </w:pPr>
            <w:r>
              <w:t xml:space="preserve">0.22%</w:t>
            </w:r>
          </w:p>
        </w:tc>
      </w:tr>
      <w:tr>
        <w:tc>
          <w:tcPr/>
          <w:p>
            <w:pPr>
              <w:pStyle w:val="Compact"/>
              <w:jc w:val="left"/>
            </w:pPr>
            <w:r>
              <w:t xml:space="preserve">Scope 3</w:t>
            </w:r>
          </w:p>
        </w:tc>
        <w:tc>
          <w:tcPr/>
          <w:p>
            <w:pPr>
              <w:pStyle w:val="Compact"/>
              <w:jc w:val="left"/>
            </w:pPr>
            <w:r>
              <w:t xml:space="preserve">All other indirect emissions (Upstream &amp; Downstream)</w:t>
            </w:r>
          </w:p>
        </w:tc>
        <w:tc>
          <w:tcPr/>
          <w:p>
            <w:pPr>
              <w:pStyle w:val="Compact"/>
              <w:jc w:val="left"/>
            </w:pPr>
            <w:r>
              <w:t xml:space="preserve">124.13</w:t>
            </w:r>
          </w:p>
        </w:tc>
        <w:tc>
          <w:tcPr/>
          <w:p>
            <w:pPr>
              <w:pStyle w:val="Compact"/>
              <w:jc w:val="left"/>
            </w:pPr>
            <w:r>
              <w:t xml:space="preserve">99.78%</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124.41</w:t>
            </w:r>
          </w:p>
        </w:tc>
        <w:tc>
          <w:tcPr/>
          <w:p>
            <w:pPr>
              <w:pStyle w:val="Compact"/>
              <w:jc w:val="left"/>
            </w:pPr>
            <w:r>
              <w:rPr>
                <w:bCs/>
                <w:b/>
              </w:rPr>
              <w:t xml:space="preserve">100.00%</w:t>
            </w:r>
          </w:p>
        </w:tc>
      </w:tr>
    </w:tbl>
    <w:bookmarkEnd w:id="40"/>
    <w:bookmarkStart w:id="41" w:name="emissions-by-lifecycle-stage"/>
    <w:p>
      <w:pPr>
        <w:pStyle w:val="Heading2"/>
      </w:pPr>
      <w:r>
        <w:t xml:space="preserve">4.2 Emissions by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Material Acquisition &amp; Processing</w:t>
            </w:r>
          </w:p>
        </w:tc>
        <w:tc>
          <w:tcPr/>
          <w:p>
            <w:pPr>
              <w:pStyle w:val="Compact"/>
              <w:jc w:val="left"/>
            </w:pPr>
            <w:r>
              <w:t xml:space="preserve">Scope 3 (Upstream)</w:t>
            </w:r>
          </w:p>
        </w:tc>
        <w:tc>
          <w:tcPr/>
          <w:p>
            <w:pPr>
              <w:pStyle w:val="Compact"/>
              <w:jc w:val="left"/>
            </w:pPr>
            <w:r>
              <w:t xml:space="preserve">3.70</w:t>
            </w:r>
          </w:p>
        </w:tc>
        <w:tc>
          <w:tcPr/>
          <w:p>
            <w:pPr>
              <w:pStyle w:val="Compact"/>
              <w:jc w:val="left"/>
            </w:pPr>
            <w:r>
              <w:t xml:space="preserve">2.97%</w:t>
            </w:r>
          </w:p>
        </w:tc>
      </w:tr>
      <w:tr>
        <w:tc>
          <w:tcPr/>
          <w:p>
            <w:pPr>
              <w:pStyle w:val="Compact"/>
              <w:jc w:val="left"/>
            </w:pPr>
            <w:r>
              <w:t xml:space="preserve">Transportation (Upstream)</w:t>
            </w:r>
          </w:p>
        </w:tc>
        <w:tc>
          <w:tcPr/>
          <w:p>
            <w:pPr>
              <w:pStyle w:val="Compact"/>
              <w:jc w:val="left"/>
            </w:pPr>
            <w:r>
              <w:t xml:space="preserve">Scope 3 (Upstream)</w:t>
            </w:r>
          </w:p>
        </w:tc>
        <w:tc>
          <w:tcPr/>
          <w:p>
            <w:pPr>
              <w:pStyle w:val="Compact"/>
              <w:jc w:val="left"/>
            </w:pPr>
            <w:r>
              <w:t xml:space="preserve">0.10</w:t>
            </w:r>
          </w:p>
        </w:tc>
        <w:tc>
          <w:tcPr/>
          <w:p>
            <w:pPr>
              <w:pStyle w:val="Compact"/>
              <w:jc w:val="left"/>
            </w:pPr>
            <w:r>
              <w:t xml:space="preserve">0.08%</w:t>
            </w:r>
          </w:p>
        </w:tc>
      </w:tr>
      <w:tr>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0.28</w:t>
            </w:r>
          </w:p>
        </w:tc>
        <w:tc>
          <w:tcPr/>
          <w:p>
            <w:pPr>
              <w:pStyle w:val="Compact"/>
              <w:jc w:val="left"/>
            </w:pPr>
            <w:r>
              <w:t xml:space="preserve">0.22%</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121.00</w:t>
            </w:r>
          </w:p>
        </w:tc>
        <w:tc>
          <w:tcPr/>
          <w:p>
            <w:pPr>
              <w:pStyle w:val="Compact"/>
              <w:jc w:val="left"/>
            </w:pPr>
            <w:r>
              <w:t xml:space="preserve">97.26%</w:t>
            </w:r>
          </w:p>
        </w:tc>
      </w:tr>
      <w:tr>
        <w:tc>
          <w:tcPr/>
          <w:p>
            <w:pPr>
              <w:pStyle w:val="Compact"/>
              <w:jc w:val="left"/>
            </w:pPr>
            <w:r>
              <w:t xml:space="preserve">End-of-Life (Net Avoided)</w:t>
            </w:r>
          </w:p>
        </w:tc>
        <w:tc>
          <w:tcPr/>
          <w:p>
            <w:pPr>
              <w:pStyle w:val="Compact"/>
              <w:jc w:val="left"/>
            </w:pPr>
            <w:r>
              <w:t xml:space="preserve">Scope 3 (Downstream)</w:t>
            </w:r>
          </w:p>
        </w:tc>
        <w:tc>
          <w:tcPr/>
          <w:p>
            <w:pPr>
              <w:pStyle w:val="Compact"/>
              <w:jc w:val="left"/>
            </w:pPr>
            <w:r>
              <w:t xml:space="preserve">-0.67</w:t>
            </w:r>
          </w:p>
        </w:tc>
        <w:tc>
          <w:tcPr/>
          <w:p>
            <w:pPr>
              <w:pStyle w:val="Compact"/>
              <w:jc w:val="left"/>
            </w:pPr>
            <w:r>
              <w:t xml:space="preserve">-0.54%</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124.41</w:t>
            </w:r>
          </w:p>
        </w:tc>
        <w:tc>
          <w:tcPr/>
          <w:p>
            <w:pPr>
              <w:pStyle w:val="Compact"/>
              <w:jc w:val="left"/>
            </w:pPr>
            <w:r>
              <w:rPr>
                <w:bCs/>
                <w:b/>
              </w:rPr>
              <w:t xml:space="preserve">100.00%</w:t>
            </w:r>
          </w:p>
        </w:tc>
      </w:tr>
    </w:tbl>
    <w:p>
      <w:r>
        <w:pict>
          <v:rect style="width:0;height:1.5pt" o:hralign="center" o:hrstd="t" o:hr="t"/>
        </w:pict>
      </w:r>
    </w:p>
    <w:bookmarkEnd w:id="41"/>
    <w:bookmarkEnd w:id="42"/>
    <w:bookmarkStart w:id="47" w:name="review-report"/>
    <w:p>
      <w:pPr>
        <w:pStyle w:val="Heading1"/>
      </w:pPr>
      <w:r>
        <w:t xml:space="preserve">5. Review &amp; Report</w:t>
      </w:r>
    </w:p>
    <w:bookmarkStart w:id="43" w:name="hotspots-identification"/>
    <w:p>
      <w:pPr>
        <w:pStyle w:val="Heading2"/>
      </w:pPr>
      <w:r>
        <w:t xml:space="preserve">5.1 Hotspots Identification</w:t>
      </w:r>
    </w:p>
    <w:p>
      <w:pPr>
        <w:pStyle w:val="FirstParagraph"/>
      </w:pPr>
      <w:r>
        <w:t xml:space="preserve">Based on the analysis, the primary emission hotspot for</w:t>
      </w:r>
      <w:r>
        <w:t xml:space="preserve"> </w:t>
      </w:r>
      <w:r>
        <w:rPr>
          <w:bCs/>
          <w:b/>
        </w:rPr>
        <w:t xml:space="preserve">nthzezrhdl</w:t>
      </w:r>
      <w:r>
        <w:t xml:space="preserve"> </w:t>
      </w:r>
      <w:r>
        <w:t xml:space="preserve">is clearly identified in the **Use Phase**, accounting for approximately 97.26% of the total carbon footprint. This is due to the product\'s annual energy consumption over its assumed lifespan. Material acquisition and manufacturing energy contribute a smaller, but still notable, portion.</w:t>
      </w:r>
    </w:p>
    <w:p>
      <w:pPr>
        <w:numPr>
          <w:ilvl w:val="0"/>
          <w:numId w:val="1014"/>
        </w:numPr>
        <w:pStyle w:val="Compact"/>
      </w:pPr>
      <w:r>
        <w:rPr>
          <w:bCs/>
          <w:b/>
        </w:rPr>
        <w:t xml:space="preserve">Use Phase:</w:t>
      </w:r>
      <w:r>
        <w:t xml:space="preserve"> </w:t>
      </w:r>
      <w:r>
        <w:t xml:space="preserve">Dominant contributor due to electricity consumption over 5 years.</w:t>
      </w:r>
    </w:p>
    <w:p>
      <w:pPr>
        <w:numPr>
          <w:ilvl w:val="0"/>
          <w:numId w:val="1014"/>
        </w:numPr>
        <w:pStyle w:val="Compact"/>
      </w:pPr>
      <w:r>
        <w:rPr>
          <w:bCs/>
          <w:b/>
        </w:rPr>
        <w:t xml:space="preserve">Material Acquisition:</w:t>
      </w:r>
      <w:r>
        <w:t xml:space="preserve"> </w:t>
      </w:r>
      <w:r>
        <w:t xml:space="preserve">Significant due to the energy-intensive production of plastics and electronics.</w:t>
      </w:r>
    </w:p>
    <w:p>
      <w:pPr>
        <w:numPr>
          <w:ilvl w:val="0"/>
          <w:numId w:val="1014"/>
        </w:numPr>
        <w:pStyle w:val="Compact"/>
      </w:pPr>
      <w:r>
        <w:rPr>
          <w:bCs/>
          <w:b/>
        </w:rPr>
        <w:t xml:space="preserve">Manufacturing (Electricity):</w:t>
      </w:r>
      <w:r>
        <w:t xml:space="preserve"> </w:t>
      </w:r>
      <w:r>
        <w:t xml:space="preserve">A minor contributor, partially mitigated by the reported 70% renewable energy usage.</w:t>
      </w:r>
    </w:p>
    <w:p>
      <w:pPr>
        <w:numPr>
          <w:ilvl w:val="0"/>
          <w:numId w:val="1014"/>
        </w:numPr>
        <w:pStyle w:val="Compact"/>
      </w:pPr>
      <w:r>
        <w:rPr>
          <w:bCs/>
          <w:b/>
        </w:rPr>
        <w:t xml:space="preserve">End-of-Life:</w:t>
      </w:r>
      <w:r>
        <w:t xml:space="preserve"> </w:t>
      </w:r>
      <w:r>
        <w:t xml:space="preserve">Presents a net carbon saving due to the high recyclability rate of 80%, demonstrating the positive impact of circular economy initiatives.</w:t>
      </w:r>
    </w:p>
    <w:bookmarkEnd w:id="43"/>
    <w:bookmarkStart w:id="44" w:name="reliability-and-limitations"/>
    <w:p>
      <w:pPr>
        <w:pStyle w:val="Heading2"/>
      </w:pPr>
      <w:r>
        <w:t xml:space="preserve">5.2 Reliability and Limitations</w:t>
      </w:r>
    </w:p>
    <w:p>
      <w:pPr>
        <w:pStyle w:val="FirstParagraph"/>
      </w:pPr>
      <w:r>
        <w:t xml:space="preserve">The reliability of this report is dependent on the accuracy and completeness of the input data. While efforts have been made to use relevant and recent emission factors from reputable sources (e.g., EU average, China national average), certain assumptions were necessary where primary data was unavailable or parameters were provided as placeholders:</w:t>
      </w:r>
    </w:p>
    <w:p>
      <w:pPr>
        <w:numPr>
          <w:ilvl w:val="0"/>
          <w:numId w:val="1015"/>
        </w:numPr>
        <w:pStyle w:val="Compact"/>
      </w:pPr>
      <w:r>
        <w:rPr>
          <w:bCs/>
          <w:b/>
        </w:rPr>
        <w:t xml:space="preserve">Placeholder Data:</w:t>
      </w:r>
      <w:r>
        <w:t xml:space="preserve"> </w:t>
      </w:r>
      <w:r>
        <w:t xml:space="preserve">Specific values for \'Select Mode\', \'jeonqikwju\', \'Delivery Type\', \'vrrnqqhgnj\', \'ydffkjxxip\', \'hpnkpfuxxv\', \'yiqnrsvltk\', \'qmtqjwtpyr\', and \'nydwglopou\' were provided as literal strings and interpreted with reasonable, generic values for calculation purposes. Actual figures for these parameters would enhance accuracy.</w:t>
      </w:r>
    </w:p>
    <w:p>
      <w:pPr>
        <w:numPr>
          <w:ilvl w:val="0"/>
          <w:numId w:val="1015"/>
        </w:numPr>
        <w:pStyle w:val="Compact"/>
      </w:pPr>
      <w:r>
        <w:rPr>
          <w:bCs/>
          <w:b/>
        </w:rPr>
        <w:t xml:space="preserve">Emission Factors:</w:t>
      </w:r>
      <w:r>
        <w:t xml:space="preserve"> </w:t>
      </w:r>
      <w:r>
        <w:t xml:space="preserve">Generic industry-average emission factors were used for transport and grid electricity. Product-specific or supplier-specific emission factors would provide higher accuracy.</w:t>
      </w:r>
    </w:p>
    <w:p>
      <w:pPr>
        <w:numPr>
          <w:ilvl w:val="0"/>
          <w:numId w:val="1015"/>
        </w:numPr>
        <w:pStyle w:val="Compact"/>
      </w:pPr>
      <w:r>
        <w:rPr>
          <w:bCs/>
          <w:b/>
        </w:rPr>
        <w:t xml:space="preserve">System Boundary:</w:t>
      </w:r>
      <w:r>
        <w:t xml:space="preserve"> </w:t>
      </w:r>
      <w:r>
        <w:t xml:space="preserve">The \'factory_gate\' boundary for manufacturing, while clear, may exclude some upstream Scope 3 emissions not covered by the BOM or specific transport data.</w:t>
      </w:r>
    </w:p>
    <w:p>
      <w:pPr>
        <w:numPr>
          <w:ilvl w:val="0"/>
          <w:numId w:val="1015"/>
        </w:numPr>
        <w:pStyle w:val="Compact"/>
      </w:pPr>
      <w:r>
        <w:rPr>
          <w:bCs/>
          <w:b/>
        </w:rPr>
        <w:t xml:space="preserve">LSR Standard:</w:t>
      </w:r>
      <w:r>
        <w:t xml:space="preserve"> </w:t>
      </w:r>
      <w:r>
        <w:t xml:space="preserve">Full compliance with the 2026 GHG Protocol Land Sector and Removals (LSR) Standard would necessitate granular data on land use and removals associated with raw material sourcing, which was not available for this analysis.</w:t>
      </w:r>
    </w:p>
    <w:p>
      <w:pPr>
        <w:numPr>
          <w:ilvl w:val="0"/>
          <w:numId w:val="1015"/>
        </w:numPr>
        <w:pStyle w:val="Compact"/>
      </w:pPr>
      <w:r>
        <w:rPr>
          <w:bCs/>
          <w:b/>
        </w:rPr>
        <w:t xml:space="preserve">Scope 3 Coverage:</w:t>
      </w:r>
      <w:r>
        <w:t xml:space="preserve"> </w:t>
      </w:r>
      <w:r>
        <w:t xml:space="preserve">While major Scope 3 categories are covered, a full 95% coverage would require detailed data for all 15 Scope 3 categories, including areas like capital goods, waste from operations (non-product), and business travel, which were beyond the scope of this analysis.</w:t>
      </w:r>
    </w:p>
    <w:bookmarkEnd w:id="44"/>
    <w:bookmarkStart w:id="46" w:name="recommendations"/>
    <w:p>
      <w:pPr>
        <w:pStyle w:val="Heading2"/>
      </w:pPr>
      <w:r>
        <w:t xml:space="preserve">5.3 Recommendations</w:t>
      </w:r>
    </w:p>
    <w:p>
      <w:pPr>
        <w:pStyle w:val="FirstParagraph"/>
      </w:pPr>
      <w:r>
        <w:t xml:space="preserve">To further reduce the product\'s carbon footprint and enhance reporting accuracy,</w:t>
      </w:r>
      <w:r>
        <w:t xml:space="preserve"> </w:t>
      </w:r>
      <w:r>
        <w:rPr>
          <w:bCs/>
          <w:b/>
        </w:rPr>
        <w:t xml:space="preserve">xpdizsxppj</w:t>
      </w:r>
      <w:r>
        <w:t xml:space="preserve"> </w:t>
      </w:r>
      <w:r>
        <w:t xml:space="preserve">should consider the following:</w:t>
      </w:r>
    </w:p>
    <w:p>
      <w:pPr>
        <w:numPr>
          <w:ilvl w:val="0"/>
          <w:numId w:val="1016"/>
        </w:numPr>
        <w:pStyle w:val="Compact"/>
      </w:pPr>
      <w:r>
        <w:rPr>
          <w:bCs/>
          <w:b/>
        </w:rPr>
        <w:t xml:space="preserve">Energy Efficiency in Use Phase:</w:t>
      </w:r>
      <w:r>
        <w:t xml:space="preserve"> </w:t>
      </w:r>
      <w:r>
        <w:t xml:space="preserve">Investigate opportunities to reduce the product\'s energy consumption during its use phase, as this is the dominant hotspot. This could involve design changes, user education, or exploring more energy-efficient technologies.</w:t>
      </w:r>
    </w:p>
    <w:p>
      <w:pPr>
        <w:numPr>
          <w:ilvl w:val="0"/>
          <w:numId w:val="1016"/>
        </w:numPr>
        <w:pStyle w:val="Compact"/>
      </w:pPr>
      <w:r>
        <w:rPr>
          <w:bCs/>
          <w:b/>
        </w:rPr>
        <w:t xml:space="preserve">Renewable Energy Procurement:</w:t>
      </w:r>
      <w:r>
        <w:t xml:space="preserve"> </w:t>
      </w:r>
      <w:r>
        <w:t xml:space="preserve">While 70% renewable energy in production is commendable, explore options to increase this to 100% and extend renewable energy sourcing throughout the supply chain, particularly for upstream material processing.</w:t>
      </w:r>
    </w:p>
    <w:p>
      <w:pPr>
        <w:numPr>
          <w:ilvl w:val="0"/>
          <w:numId w:val="1016"/>
        </w:numPr>
        <w:pStyle w:val="Compact"/>
      </w:pPr>
      <w:r>
        <w:rPr>
          <w:bCs/>
          <w:b/>
        </w:rPr>
        <w:t xml:space="preserve">Supply Chain Engagement:</w:t>
      </w:r>
      <w:r>
        <w:t xml:space="preserve"> </w:t>
      </w:r>
      <w:r>
        <w:t xml:space="preserve">Collaborate with material suppliers and logistics providers to obtain primary, product-specific emission data, particularly for high-impact components and long-distance transport.</w:t>
      </w:r>
    </w:p>
    <w:p>
      <w:pPr>
        <w:numPr>
          <w:ilvl w:val="0"/>
          <w:numId w:val="1016"/>
        </w:numPr>
        <w:pStyle w:val="Compact"/>
      </w:pPr>
      <w:r>
        <w:rPr>
          <w:bCs/>
          <w:b/>
        </w:rPr>
        <w:t xml:space="preserve">Circular Economy Initiatives:</w:t>
      </w:r>
      <w:r>
        <w:t xml:space="preserve"> </w:t>
      </w:r>
      <w:r>
        <w:t xml:space="preserve">Expand and promote the existing take-back programs (nydwglopou) to maximize material recovery and explore innovative design for disassembly and material reuse to further reduce end-of-life impacts.</w:t>
      </w:r>
    </w:p>
    <w:p>
      <w:pPr>
        <w:numPr>
          <w:ilvl w:val="0"/>
          <w:numId w:val="1016"/>
        </w:numPr>
        <w:pStyle w:val="Compact"/>
      </w:pPr>
      <w:r>
        <w:rPr>
          <w:bCs/>
          <w:b/>
        </w:rPr>
        <w:t xml:space="preserve">LSR Standard Implementation:</w:t>
      </w:r>
      <w:r>
        <w:t xml:space="preserve"> </w:t>
      </w:r>
      <w:r>
        <w:t xml:space="preserve">Begin preparing for the full implementation of the GHG Protocol LSR Standard by identifying and collecting data on land-related emissions and removals in the supply chain, particularly for biogenic materials.</w:t>
      </w:r>
    </w:p>
    <w:p>
      <w:r>
        <w:pict>
          <v:rect style="width:0;height:1.5pt" o:hralign="center" o:hrstd="t" o:hr="t"/>
        </w:pict>
      </w:r>
    </w:p>
    <w:p>
      <w:pPr>
        <w:pStyle w:val="FirstParagraph"/>
      </w:pPr>
      <w:r>
        <w:t xml:space="preserve">Confidential - Internal Use Only | Page</w:t>
      </w:r>
      <w:r>
        <w:t xml:space="preserve"> </w:t>
      </w:r>
      <w:bookmarkStart w:id="45" w:name="pageNumber"/>
      <w:bookmarkEnd w:id="45"/>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nthzezrhdl</dc:title>
  <dc:creator/>
  <dc:description>High-detail Product Carbon Footprint (PCF) analysis for nthzezrhdl, adhering to GHG Protocol standards and 2026 LSR updates, prepared by Senior Sustainability Consultant rpgrvqewxw for xpdizsxppj.</dc:description>
  <dc:language>en</dc:language>
  <cp:keywords/>
  <dcterms:created xsi:type="dcterms:W3CDTF">2026-07-15T05:32:14Z</dcterms:created>
  <dcterms:modified xsi:type="dcterms:W3CDTF">2026-07-15T05:32:14Z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