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nsomdhgyok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nsomdhgyok</w:t>
      </w:r>
    </w:p>
    <w:p>
      <w:pPr>
        <w:pStyle w:val="BodyText"/>
      </w:pPr>
      <w:r>
        <w:t xml:space="preserve">Company: rohvyeznhz</w:t>
      </w:r>
    </w:p>
    <w:p>
      <w:pPr>
        <w:pStyle w:val="BodyText"/>
      </w:pPr>
      <w:r>
        <w:t xml:space="preserve">Senior Sustainability Consultant: sjywzflsdi</w:t>
      </w:r>
    </w:p>
    <w:p>
      <w:pPr>
        <w:pStyle w:val="BodyText"/>
      </w:pPr>
      <w:r>
        <w:t xml:space="preserve">Accounting Standard: GHG Protocol</w:t>
      </w:r>
    </w:p>
    <w:p>
      <w:pPr>
        <w:pStyle w:val="BodyText"/>
      </w:pPr>
      <w:r>
        <w:t xml:space="preserve">This report is generated based on available data, specified parameters, and industry standards. While every effort has been made to ensure accuracy, the results are indicative and subject to the precision and completeness of the input data.</w:t>
      </w:r>
    </w:p>
    <w:bookmarkEnd w:id="20"/>
    <w:bookmarkStart w:id="21" w:name="Xa87d010c1fd868336511b306fbd202996615f12"/>
    <w:p>
      <w:pPr>
        <w:pStyle w:val="Heading1"/>
      </w:pPr>
      <w:r>
        <w:t xml:space="preserve">Product Carbon Footprint Analysis Report</w:t>
      </w:r>
    </w:p>
    <w:p>
      <w:pPr>
        <w:pStyle w:val="FirstParagraph"/>
      </w:pPr>
      <w:r>
        <w:t xml:space="preserve">Product: nsomdhgyok | Company: rohvyeznhz</w:t>
      </w:r>
    </w:p>
    <w:p>
      <w:pPr>
        <w:pStyle w:val="BodyText"/>
      </w:pPr>
      <w:r>
        <w:t xml:space="preserve">Generated Date: June 2, 2026</w: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 \'nsomdhgyok\', manufactured by rohvyeznhz. The assessment adheres strictly to the GHG Protocol standards, incorporating the 2026 Land Sector and Removals (LSR) Standard update and aiming for over 95% Scope 3 coverage. The analysis covers the entire lifecycle from raw material acquisition to end-of-life, focusing on identifying key emission hotspots and providing actionable insights for sustainability improvements. The functional unit for this analysis is 1.0 unit of nsomdhgyok.</w:t>
      </w:r>
    </w:p>
    <w:p>
      <w:r>
        <w:pict>
          <v:rect style="width:0;height:1.5pt" o:hralign="center" o:hrstd="t" o:hr="t"/>
        </w:pict>
      </w:r>
    </w:p>
    <w:bookmarkEnd w:id="22"/>
    <w:bookmarkStart w:id="25" w:name="introduction"/>
    <w:p>
      <w:pPr>
        <w:pStyle w:val="Heading2"/>
      </w:pPr>
      <w:r>
        <w:t xml:space="preserve">1. Introduction</w:t>
      </w:r>
    </w:p>
    <w:p>
      <w:pPr>
        <w:pStyle w:val="FirstParagraph"/>
      </w:pPr>
      <w:r>
        <w:t xml:space="preserve">Understanding the environmental impact of products is crucial for sustainable business practices. This report provides a comprehensive Product Carbon Footprint (PCF) for rohvyeznhz\'s product, nsomdhgyok. The PCF quantifies the total greenhouse gas (GHG) emissions associated with the product throughout its lifecycle, expressed in kilograms of carbon dioxide equivalent (kg CO2e).</w:t>
      </w:r>
    </w:p>
    <w:bookmarkStart w:id="23" w:name="objectives"/>
    <w:p>
      <w:pPr>
        <w:pStyle w:val="Heading3"/>
      </w:pPr>
      <w:r>
        <w:t xml:space="preserve">1.1 Objectives</w:t>
      </w:r>
    </w:p>
    <w:p>
      <w:pPr>
        <w:numPr>
          <w:ilvl w:val="0"/>
          <w:numId w:val="1001"/>
        </w:numPr>
        <w:pStyle w:val="Compact"/>
      </w:pPr>
      <w:r>
        <w:t xml:space="preserve">To quantify the cradle-to-gate (factory_gate system boundary) and cradle-to-grave GHG emissions for nsomdhgyok.</w:t>
      </w:r>
    </w:p>
    <w:p>
      <w:pPr>
        <w:numPr>
          <w:ilvl w:val="0"/>
          <w:numId w:val="1001"/>
        </w:numPr>
        <w:pStyle w:val="Compact"/>
      </w:pPr>
      <w:r>
        <w:t xml:space="preserve">To identify major emission hotspots across the product\'s lifecycle.</w:t>
      </w:r>
    </w:p>
    <w:p>
      <w:pPr>
        <w:numPr>
          <w:ilvl w:val="0"/>
          <w:numId w:val="1001"/>
        </w:numPr>
        <w:pStyle w:val="Compact"/>
      </w:pPr>
      <w:r>
        <w:t xml:space="preserve">To provide a baseline for future sustainability improvements and reporting.</w:t>
      </w:r>
    </w:p>
    <w:p>
      <w:pPr>
        <w:numPr>
          <w:ilvl w:val="0"/>
          <w:numId w:val="1001"/>
        </w:numPr>
        <w:pStyle w:val="Compact"/>
      </w:pPr>
      <w:r>
        <w:t xml:space="preserve">To ensure compliance with the GHG Protocol and its latest updates.</w:t>
      </w:r>
    </w:p>
    <w:bookmarkEnd w:id="23"/>
    <w:bookmarkStart w:id="24" w:name="scope-and-boundaries"/>
    <w:p>
      <w:pPr>
        <w:pStyle w:val="Heading3"/>
      </w:pPr>
      <w:r>
        <w:t xml:space="preserve">1.2 Scope and Boundaries</w:t>
      </w:r>
    </w:p>
    <w:p>
      <w:pPr>
        <w:numPr>
          <w:ilvl w:val="0"/>
          <w:numId w:val="1002"/>
        </w:numPr>
        <w:pStyle w:val="Compact"/>
      </w:pPr>
      <w:r>
        <w:rPr>
          <w:bCs/>
          <w:b/>
        </w:rPr>
        <w:t xml:space="preserve">Functional Unit:</w:t>
      </w:r>
      <w:r>
        <w:t xml:space="preserve"> </w:t>
      </w:r>
      <w:r>
        <w:t xml:space="preserve">1.0 unit of nsomdhgyok.</w:t>
      </w:r>
    </w:p>
    <w:p>
      <w:pPr>
        <w:numPr>
          <w:ilvl w:val="0"/>
          <w:numId w:val="1002"/>
        </w:numPr>
        <w:pStyle w:val="Compact"/>
      </w:pPr>
      <w:r>
        <w:rPr>
          <w:bCs/>
          <w:b/>
        </w:rPr>
        <w:t xml:space="preserve">System Boundary:</w:t>
      </w:r>
      <w:r>
        <w:t xml:space="preserve"> </w:t>
      </w:r>
      <w:r>
        <w:t xml:space="preserve">Factory-gate (cradle-to-gate, with extended analysis for use and end-of-life to encompass cradle-to-grave impacts as per detailed parameter requirements).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Mass-based allocation has been applied where relevant for co-product or waste stream scenarios, aligned with GHG Protocol guidelines.</w:t>
      </w:r>
    </w:p>
    <w:p>
      <w:r>
        <w:pict>
          <v:rect style="width:0;height:1.5pt" o:hralign="center" o:hrstd="t" o:hr="t"/>
        </w:pict>
      </w:r>
    </w:p>
    <w:bookmarkEnd w:id="24"/>
    <w:bookmarkEnd w:id="25"/>
    <w:bookmarkStart w:id="33" w:name="Xfe82f7bdc3ce10b3f3bc6066e80035d98683efa"/>
    <w:p>
      <w:pPr>
        <w:pStyle w:val="Heading2"/>
      </w:pPr>
      <w:r>
        <w:t xml:space="preserve">2. Methodology: Lifecycle Stages and Data Collection</w:t>
      </w:r>
    </w:p>
    <w:p>
      <w:pPr>
        <w:pStyle w:val="FirstParagraph"/>
      </w:pPr>
      <w:r>
        <w:t xml:space="preserve">The PCF analysis follows a five-step methodology as per industry best practices and the GHG Protocol Product Standard:</w:t>
      </w:r>
    </w:p>
    <w:p>
      <w:pPr>
        <w:numPr>
          <w:ilvl w:val="0"/>
          <w:numId w:val="1003"/>
        </w:numPr>
        <w:pStyle w:val="Compact"/>
      </w:pPr>
      <w:r>
        <w:t xml:space="preserve">Define Scope (Functional unit, System boundaries, Geographic scope, Allocation).</w:t>
      </w:r>
    </w:p>
    <w:p>
      <w:pPr>
        <w:numPr>
          <w:ilvl w:val="0"/>
          <w:numId w:val="1003"/>
        </w:numPr>
        <w:pStyle w:val="Compact"/>
      </w:pPr>
      <w:r>
        <w:t xml:space="preserve">Map Lifecycle (LCI inventory stages).</w:t>
      </w:r>
    </w:p>
    <w:p>
      <w:pPr>
        <w:numPr>
          <w:ilvl w:val="0"/>
          <w:numId w:val="1003"/>
        </w:numPr>
        <w:pStyle w:val="Compact"/>
      </w:pPr>
      <w:r>
        <w:t xml:space="preserve">Collect Data (Primary/Secondary data points).</w:t>
      </w:r>
    </w:p>
    <w:p>
      <w:pPr>
        <w:numPr>
          <w:ilvl w:val="0"/>
          <w:numId w:val="1003"/>
        </w:numPr>
        <w:pStyle w:val="Compact"/>
      </w:pPr>
      <w:r>
        <w:t xml:space="preserve">Calculate Emissions (Activity * Emission Factor = CO2e).</w:t>
      </w:r>
    </w:p>
    <w:p>
      <w:pPr>
        <w:numPr>
          <w:ilvl w:val="0"/>
          <w:numId w:val="1003"/>
        </w:numPr>
        <w:pStyle w:val="Compact"/>
      </w:pPr>
      <w:r>
        <w:t xml:space="preserve">Review &amp; Report (Hotspots and reliability).</w:t>
      </w:r>
    </w:p>
    <w:bookmarkStart w:id="26" w:name="lifecycle-inventory-stages"/>
    <w:p>
      <w:pPr>
        <w:pStyle w:val="Heading3"/>
      </w:pPr>
      <w:r>
        <w:t xml:space="preserve">2.1 Lifecycle Inventory Stages</w:t>
      </w:r>
    </w:p>
    <w:p>
      <w:pPr>
        <w:pStyle w:val="FirstParagraph"/>
      </w:pPr>
      <w:r>
        <w:t xml:space="preserve">The lifecycle of nsomdhgyok is mapped across the following stages, categorized according to the GHG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Description</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Extraction, processing, and refining of raw materials (e.g., metals, plastics, silicon) as per the Detailed Bill of Materials (BOM).</w:t>
            </w:r>
          </w:p>
        </w:tc>
      </w:tr>
      <w:tr>
        <w:tc>
          <w:tcPr/>
          <w:p>
            <w:pPr>
              <w:pStyle w:val="Compact"/>
              <w:jc w:val="left"/>
            </w:pPr>
            <w:r>
              <w:t xml:space="preserve">Manufacturing &amp; Production</w:t>
            </w:r>
          </w:p>
        </w:tc>
        <w:tc>
          <w:tcPr/>
          <w:p>
            <w:pPr>
              <w:pStyle w:val="Compact"/>
              <w:jc w:val="left"/>
            </w:pPr>
            <w:r>
              <w:t xml:space="preserve">Scope 1 &amp; 2</w:t>
            </w:r>
          </w:p>
        </w:tc>
        <w:tc>
          <w:tcPr/>
          <w:p>
            <w:pPr>
              <w:pStyle w:val="Compact"/>
              <w:jc w:val="left"/>
            </w:pPr>
            <w:r>
              <w:t xml:space="preserve">Energy consumption (electricity, heat, steam), on-site fuel combustion, and process emissions at the rohvyeznhz production facility in China.</w:t>
            </w:r>
          </w:p>
        </w:tc>
      </w:tr>
      <w:tr>
        <w:tc>
          <w:tcPr/>
          <w:p>
            <w:pPr>
              <w:pStyle w:val="Compact"/>
              <w:jc w:val="left"/>
            </w:pPr>
            <w:r>
              <w:t xml:space="preserve">Transport (Upstream Logistics)</w:t>
            </w:r>
          </w:p>
        </w:tc>
        <w:tc>
          <w:tcPr/>
          <w:p>
            <w:pPr>
              <w:pStyle w:val="Compact"/>
              <w:jc w:val="left"/>
            </w:pPr>
            <w:r>
              <w:t xml:space="preserve">Scope 3 (Upstream)</w:t>
            </w:r>
          </w:p>
        </w:tc>
        <w:tc>
          <w:tcPr/>
          <w:p>
            <w:pPr>
              <w:pStyle w:val="Compact"/>
              <w:jc w:val="left"/>
            </w:pPr>
            <w:r>
              <w:t xml:space="preserve">Transportation of raw materials and components from suppliers (Europe Focused) to the manufacturing facility in China.</w:t>
            </w:r>
          </w:p>
        </w:tc>
      </w:tr>
      <w:tr>
        <w:tc>
          <w:tcPr/>
          <w:p>
            <w:pPr>
              <w:pStyle w:val="Compact"/>
              <w:jc w:val="left"/>
            </w:pPr>
            <w:r>
              <w:t xml:space="preserve">Distribution &amp; Storage (Downstream Logistics)</w:t>
            </w:r>
          </w:p>
        </w:tc>
        <w:tc>
          <w:tcPr/>
          <w:p>
            <w:pPr>
              <w:pStyle w:val="Compact"/>
              <w:jc w:val="left"/>
            </w:pPr>
            <w:r>
              <w:t xml:space="preserve">Scope 3 (Downstream)</w:t>
            </w:r>
          </w:p>
        </w:tc>
        <w:tc>
          <w:tcPr/>
          <w:p>
            <w:pPr>
              <w:pStyle w:val="Compact"/>
              <w:jc w:val="left"/>
            </w:pPr>
            <w:r>
              <w:t xml:space="preserve">Transportation of the finished product from the factory to the end-customer, including last-mile delivery.</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Energy consumption by the product during its expected lifespan.</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Disposal or recycling of the product and its packaging at the end of its useful life.</w:t>
            </w:r>
          </w:p>
        </w:tc>
      </w:tr>
    </w:tbl>
    <w:bookmarkEnd w:id="26"/>
    <w:bookmarkStart w:id="32" w:name="data-collection-and-inputs"/>
    <w:p>
      <w:pPr>
        <w:pStyle w:val="Heading3"/>
      </w:pPr>
      <w:r>
        <w:t xml:space="preserve">2.2 Data Collection and Inputs</w:t>
      </w:r>
    </w:p>
    <w:p>
      <w:pPr>
        <w:pStyle w:val="FirstParagraph"/>
      </w:pPr>
      <w:r>
        <w:t xml:space="preserve">Primary and secondary data were utilized for this analysis. Due to the placeholder nature of some input parameters, illustrative values and widely accepted industry average emission factors (e.g., from Ecoinvent/DEFRA equivalents) have been applied where specific data was not available. It is crucial for future iterations to replace illustrative data with actual, company-specific primary data for enhanced accuracy.</w:t>
      </w:r>
    </w:p>
    <w:bookmarkStart w:id="27" w:name="X86969e2b7a1be495769f7d11b4900d80a7ade78"/>
    <w:p>
      <w:pPr>
        <w:pStyle w:val="Heading4"/>
      </w:pPr>
      <w:r>
        <w:t xml:space="preserve">2.2.1 Detailed Bill of Materials (BOM) for nsomdhgyok</w:t>
      </w:r>
    </w:p>
    <w:p>
      <w:pPr>
        <w:pStyle w:val="FirstParagraph"/>
      </w:pPr>
      <w:r>
        <w:t xml:space="preserve">The following detailed Bill of Materials (BOM) was used for calculating the material impact. Please note: The values presented here are illustrative, based on the specified format "ID, Description, Category, Process, Qty, Unit, Emission Factor, Total Carbon" provided for parameter \'pnqnzxky\', as specific data for this placeholder was not supplied for direct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Alloy (Primary)</w:t>
            </w:r>
          </w:p>
        </w:tc>
        <w:tc>
          <w:tcPr/>
          <w:p>
            <w:pPr>
              <w:pStyle w:val="Compact"/>
              <w:jc w:val="left"/>
            </w:pPr>
            <w:r>
              <w:t xml:space="preserve">Metals</w:t>
            </w:r>
          </w:p>
        </w:tc>
        <w:tc>
          <w:tcPr/>
          <w:p>
            <w:pPr>
              <w:pStyle w:val="Compact"/>
              <w:jc w:val="left"/>
            </w:pPr>
            <w:r>
              <w:t xml:space="preserve">Smelting, 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Extraction,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p>
            <w:pPr>
              <w:pStyle w:val="Compact"/>
              <w:jc w:val="left"/>
            </w:pPr>
            <w:r>
              <w:t xml:space="preserve">MAT004</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Crystallization, Dicing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w:t>
            </w:r>
          </w:p>
        </w:tc>
      </w:tr>
      <w:tr>
        <w:tc>
          <w:tcPr/>
          <w:p>
            <w:pPr>
              <w:pStyle w:val="Compact"/>
              <w:jc w:val="left"/>
            </w:pPr>
            <w:r>
              <w:t xml:space="preserve">PKG001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r>
        <w:tc>
          <w:tcPr>
            <w:gridSpan w:val="7"/>
          </w:tcPr>
          <w:p>
            <w:pPr>
              <w:pStyle w:val="Compact"/>
              <w:jc w:val="right"/>
            </w:pPr>
            <w:r>
              <w:t xml:space="preserve">Total Material Emissions (illustrative):</w:t>
            </w:r>
          </w:p>
        </w:tc>
        <w:tc>
          <w:tcPr/>
          <w:p>
            <w:pPr>
              <w:pStyle w:val="Compact"/>
              <w:jc w:val="left"/>
            </w:pPr>
            <w:r>
              <w:t xml:space="preserve">42.2 kg CO2e</w:t>
            </w:r>
          </w:p>
        </w:tc>
      </w:tr>
      <w:tr>
        <w:tc>
          <w:tcPr>
            <w:gridSpan w:val="7"/>
          </w:tcPr>
          <w:p>
            <w:pPr>
              <w:pStyle w:val="Compact"/>
              <w:jc w:val="right"/>
            </w:pPr>
            <w:r>
              <w:t xml:space="preserve">Total Product Weight (illustrative):</w:t>
            </w:r>
          </w:p>
        </w:tc>
        <w:tc>
          <w:tcPr/>
          <w:p>
            <w:pPr>
              <w:pStyle w:val="Compact"/>
              <w:jc w:val="left"/>
            </w:pPr>
            <w:r>
              <w:t xml:space="preserve">3.85 kg</w:t>
            </w:r>
          </w:p>
        </w:tc>
      </w:tr>
    </w:tbl>
    <w:bookmarkEnd w:id="27"/>
    <w:bookmarkStart w:id="28" w:name="energy-inputs-production-phase"/>
    <w:p>
      <w:pPr>
        <w:pStyle w:val="Heading4"/>
      </w:pPr>
      <w:r>
        <w:t xml:space="preserve">2.2.2 Energy Inputs (Production Phase)</w:t>
      </w:r>
    </w:p>
    <w:p>
      <w:pPr>
        <w:numPr>
          <w:ilvl w:val="0"/>
          <w:numId w:val="1004"/>
        </w:numPr>
        <w:pStyle w:val="Compact"/>
      </w:pPr>
      <w:r>
        <w:rPr>
          <w:bCs/>
          <w:b/>
        </w:rPr>
        <w:t xml:space="preserve">Energy Intensity (kWh/unit):</w:t>
      </w:r>
      <w:r>
        <w:t xml:space="preserve"> </w:t>
      </w:r>
      <w:r>
        <w:t xml:space="preserve">equgmtlkgx (Illustrative: 5.0 kWh/unit)</w:t>
      </w:r>
    </w:p>
    <w:p>
      <w:pPr>
        <w:numPr>
          <w:ilvl w:val="0"/>
          <w:numId w:val="1004"/>
        </w:numPr>
        <w:pStyle w:val="Compact"/>
      </w:pPr>
      <w:r>
        <w:rPr>
          <w:bCs/>
          <w:b/>
        </w:rPr>
        <w:t xml:space="preserve">Renewable Energy Usage:</w:t>
      </w:r>
      <w:r>
        <w:t xml:space="preserve"> </w:t>
      </w:r>
      <w:r>
        <w:t xml:space="preserve">sodyqjyuvd (Illustrative: 60%)</w:t>
      </w:r>
    </w:p>
    <w:p>
      <w:pPr>
        <w:numPr>
          <w:ilvl w:val="0"/>
          <w:numId w:val="1004"/>
        </w:numPr>
        <w:pStyle w:val="Compact"/>
      </w:pPr>
      <w:r>
        <w:rPr>
          <w:bCs/>
          <w:b/>
        </w:rPr>
        <w:t xml:space="preserve">Non-renewable Electricity Share:</w:t>
      </w:r>
      <w:r>
        <w:t xml:space="preserve"> </w:t>
      </w:r>
      <w:r>
        <w:t xml:space="preserve">40% (100% - 60% Renewable)</w:t>
      </w:r>
    </w:p>
    <w:p>
      <w:pPr>
        <w:numPr>
          <w:ilvl w:val="0"/>
          <w:numId w:val="1004"/>
        </w:numPr>
        <w:pStyle w:val="Compact"/>
      </w:pPr>
      <w:r>
        <w:rPr>
          <w:bCs/>
          <w:b/>
        </w:rPr>
        <w:t xml:space="preserve">Electricity Emission Factor (China Grid, illustrative):</w:t>
      </w:r>
      <w:r>
        <w:t xml:space="preserve"> </w:t>
      </w:r>
      <w:r>
        <w:t xml:space="preserve">0.6 kg CO2e/kWh (Source: IEA/Ecoinvent proxy for China)</w:t>
      </w:r>
    </w:p>
    <w:p>
      <w:pPr>
        <w:numPr>
          <w:ilvl w:val="0"/>
          <w:numId w:val="1004"/>
        </w:numPr>
        <w:pStyle w:val="Compact"/>
      </w:pPr>
      <w:r>
        <w:rPr>
          <w:bCs/>
          <w:b/>
        </w:rPr>
        <w:t xml:space="preserve">Assumed Scope 1 Emissions (on-site fuels, illustrative):</w:t>
      </w:r>
      <w:r>
        <w:t xml:space="preserve"> </w:t>
      </w:r>
      <w:r>
        <w:t xml:space="preserve">0.1 kg CO2e/unit (This is an illustrative value, representing minor direct fuel combustion or process emissions).</w:t>
      </w:r>
    </w:p>
    <w:bookmarkEnd w:id="28"/>
    <w:bookmarkStart w:id="29" w:name="logistics-data"/>
    <w:p>
      <w:pPr>
        <w:pStyle w:val="Heading4"/>
      </w:pPr>
      <w:r>
        <w:t xml:space="preserve">2.2.3 Logistics Data</w:t>
      </w:r>
    </w:p>
    <w:p>
      <w:pPr>
        <w:numPr>
          <w:ilvl w:val="0"/>
          <w:numId w:val="1005"/>
        </w:numPr>
        <w:pStyle w:val="Compact"/>
      </w:pPr>
      <w:r>
        <w:rPr>
          <w:bCs/>
          <w:b/>
        </w:rPr>
        <w:t xml:space="preserve">Primary Transport Mode (for \'Select Mode\'):</w:t>
      </w:r>
      <w:r>
        <w:t xml:space="preserve"> </w:t>
      </w:r>
      <w:r>
        <w:t xml:space="preserve">Assumed: Road Freight (Heavy Goods Vehicle - HGV &gt; 16t, average)</w:t>
      </w:r>
    </w:p>
    <w:p>
      <w:pPr>
        <w:numPr>
          <w:ilvl w:val="0"/>
          <w:numId w:val="1005"/>
        </w:numPr>
        <w:pStyle w:val="Compact"/>
      </w:pPr>
      <w:r>
        <w:rPr>
          <w:bCs/>
          <w:b/>
        </w:rPr>
        <w:t xml:space="preserve">Primary Transport Distance (for \'jfpkvpdenr\' - materials to factory &amp; factory to hub):</w:t>
      </w:r>
      <w:r>
        <w:t xml:space="preserve"> </w:t>
      </w:r>
      <w:r>
        <w:t xml:space="preserve">Illustrative: 2000 km</w:t>
      </w:r>
    </w:p>
    <w:p>
      <w:pPr>
        <w:numPr>
          <w:ilvl w:val="0"/>
          <w:numId w:val="1005"/>
        </w:numPr>
        <w:pStyle w:val="Compact"/>
      </w:pPr>
      <w:r>
        <w:rPr>
          <w:bCs/>
          <w:b/>
        </w:rPr>
        <w:t xml:space="preserve">Last-Mile Delivery Channel (for \'Delivery Type\'):</w:t>
      </w:r>
      <w:r>
        <w:t xml:space="preserve"> </w:t>
      </w:r>
      <w:r>
        <w:t xml:space="preserve">Assumed: Light Commercial Vehicle (LCV)</w:t>
      </w:r>
    </w:p>
    <w:p>
      <w:pPr>
        <w:numPr>
          <w:ilvl w:val="0"/>
          <w:numId w:val="1005"/>
        </w:numPr>
        <w:pStyle w:val="Compact"/>
      </w:pPr>
      <w:r>
        <w:rPr>
          <w:bCs/>
          <w:b/>
        </w:rPr>
        <w:t xml:space="preserve">Last-Mile Delivery Distance (illustrative):</w:t>
      </w:r>
      <w:r>
        <w:t xml:space="preserve"> </w:t>
      </w:r>
      <w:r>
        <w:t xml:space="preserve">100 km</w:t>
      </w:r>
    </w:p>
    <w:p>
      <w:pPr>
        <w:numPr>
          <w:ilvl w:val="0"/>
          <w:numId w:val="1005"/>
        </w:numPr>
        <w:pStyle w:val="Compact"/>
      </w:pPr>
      <w:r>
        <w:rPr>
          <w:bCs/>
          <w:b/>
        </w:rPr>
        <w:t xml:space="preserve">Transport Emission Factor (Road Freight HGV, illustrative):</w:t>
      </w:r>
      <w:r>
        <w:t xml:space="preserve"> </w:t>
      </w:r>
      <w:r>
        <w:t xml:space="preserve">0.09 kg CO2e/tonne-km (Source: DEFRA/Ecoinvent proxy)</w:t>
      </w:r>
    </w:p>
    <w:p>
      <w:pPr>
        <w:numPr>
          <w:ilvl w:val="0"/>
          <w:numId w:val="1005"/>
        </w:numPr>
        <w:pStyle w:val="Compact"/>
      </w:pPr>
      <w:r>
        <w:rPr>
          <w:bCs/>
          <w:b/>
        </w:rPr>
        <w:t xml:space="preserve">Transport Emission Factor (LCV, illustrative):</w:t>
      </w:r>
      <w:r>
        <w:t xml:space="preserve"> </w:t>
      </w:r>
      <w:r>
        <w:t xml:space="preserve">0.15 kg CO2e/tonne-km (Source: DEFRA/Ecoinvent proxy)</w:t>
      </w:r>
    </w:p>
    <w:bookmarkEnd w:id="29"/>
    <w:bookmarkStart w:id="30" w:name="use-phase-data"/>
    <w:p>
      <w:pPr>
        <w:pStyle w:val="Heading4"/>
      </w:pPr>
      <w:r>
        <w:t xml:space="preserve">2.2.4 Use Phase Data</w:t>
      </w:r>
    </w:p>
    <w:p>
      <w:pPr>
        <w:numPr>
          <w:ilvl w:val="0"/>
          <w:numId w:val="1006"/>
        </w:numPr>
        <w:pStyle w:val="Compact"/>
      </w:pPr>
      <w:r>
        <w:rPr>
          <w:bCs/>
          <w:b/>
        </w:rPr>
        <w:t xml:space="preserve">Product Lifespan (for \'lziwgdmfld\'):</w:t>
      </w:r>
      <w:r>
        <w:t xml:space="preserve"> </w:t>
      </w:r>
      <w:r>
        <w:t xml:space="preserve">Illustrative: 5 years</w:t>
      </w:r>
    </w:p>
    <w:p>
      <w:pPr>
        <w:numPr>
          <w:ilvl w:val="0"/>
          <w:numId w:val="1006"/>
        </w:numPr>
        <w:pStyle w:val="Compact"/>
      </w:pPr>
      <w:r>
        <w:rPr>
          <w:bCs/>
          <w:b/>
        </w:rPr>
        <w:t xml:space="preserve">Energy Consumption in Use (for \'iqnvdvtefj\'):</w:t>
      </w:r>
      <w:r>
        <w:t xml:space="preserve"> </w:t>
      </w:r>
      <w:r>
        <w:t xml:space="preserve">Illustrative: 10 kWh/year</w:t>
      </w:r>
    </w:p>
    <w:p>
      <w:pPr>
        <w:numPr>
          <w:ilvl w:val="0"/>
          <w:numId w:val="1006"/>
        </w:numPr>
        <w:pStyle w:val="Compact"/>
      </w:pPr>
      <w:r>
        <w:rPr>
          <w:bCs/>
          <w:b/>
        </w:rPr>
        <w:t xml:space="preserve">Electricity Emission Factor (European Grid, use phase, illustrative):</w:t>
      </w:r>
      <w:r>
        <w:t xml:space="preserve"> </w:t>
      </w:r>
      <w:r>
        <w:t xml:space="preserve">0.3 kg CO2e/kWh (Source: IEA/Ecoinvent proxy for Europe)</w:t>
      </w:r>
    </w:p>
    <w:bookmarkEnd w:id="30"/>
    <w:bookmarkStart w:id="31" w:name="end-of-life-eol-scenarios"/>
    <w:p>
      <w:pPr>
        <w:pStyle w:val="Heading4"/>
      </w:pPr>
      <w:r>
        <w:t xml:space="preserve">2.2.5 End-of-Life (EoL) Scenarios</w:t>
      </w:r>
    </w:p>
    <w:p>
      <w:pPr>
        <w:numPr>
          <w:ilvl w:val="0"/>
          <w:numId w:val="1007"/>
        </w:numPr>
        <w:pStyle w:val="Compact"/>
      </w:pPr>
      <w:r>
        <w:rPr>
          <w:bCs/>
          <w:b/>
        </w:rPr>
        <w:t xml:space="preserve">Recyclability Percentage (for \'uwufxosxsy\'):</w:t>
      </w:r>
      <w:r>
        <w:t xml:space="preserve"> </w:t>
      </w:r>
      <w:r>
        <w:t xml:space="preserve">Illustrative: 80%</w:t>
      </w:r>
    </w:p>
    <w:p>
      <w:pPr>
        <w:numPr>
          <w:ilvl w:val="0"/>
          <w:numId w:val="1007"/>
        </w:numPr>
        <w:pStyle w:val="Compact"/>
      </w:pPr>
      <w:r>
        <w:rPr>
          <w:bCs/>
          <w:b/>
        </w:rPr>
        <w:t xml:space="preserve">Circular/Take-back Programs (for \'nqofulkfel\'):</w:t>
      </w:r>
      <w:r>
        <w:t xml:space="preserve"> </w:t>
      </w:r>
      <w:r>
        <w:t xml:space="preserve">Illustrative: Yes, established program</w:t>
      </w:r>
    </w:p>
    <w:p>
      <w:pPr>
        <w:numPr>
          <w:ilvl w:val="0"/>
          <w:numId w:val="1007"/>
        </w:numPr>
        <w:pStyle w:val="Compact"/>
      </w:pPr>
      <w:r>
        <w:rPr>
          <w:bCs/>
          <w:b/>
        </w:rPr>
        <w:t xml:space="preserve">EoL Waste Emission Factor (non-recycled, illustrative):</w:t>
      </w:r>
      <w:r>
        <w:t xml:space="preserve"> </w:t>
      </w:r>
      <w:r>
        <w:t xml:space="preserve">0.5 kg CO2e/kg (for landfill/incineration of mixed waste)</w:t>
      </w:r>
    </w:p>
    <w:p>
      <w:r>
        <w:pict>
          <v:rect style="width:0;height:1.5pt" o:hralign="center" o:hrstd="t" o:hr="t"/>
        </w:pict>
      </w:r>
    </w:p>
    <w:bookmarkEnd w:id="31"/>
    <w:bookmarkEnd w:id="32"/>
    <w:bookmarkEnd w:id="33"/>
    <w:bookmarkStart w:id="39" w:name="Xdd1c2ba429305467bad58a0828410d9d0fce25c"/>
    <w:p>
      <w:pPr>
        <w:pStyle w:val="Heading2"/>
      </w:pPr>
      <w:r>
        <w:t xml:space="preserve">3. Emissions Calculation (Activity * Emission Factor = CO2e)</w:t>
      </w:r>
    </w:p>
    <w:p>
      <w:pPr>
        <w:pStyle w:val="FirstParagraph"/>
      </w:pPr>
      <w:r>
        <w:t xml:space="preserve">Emissions are calculated for each lifecycle stage based on the activity data and corresponding emission factors. All emissions are reported in kilograms of Carbon Dioxide Equivalent (kg CO2e).</w:t>
      </w:r>
    </w:p>
    <w:bookmarkStart w:id="34" w:name="Xff31e690bfe279af69cf88b9219fe5d56042afb"/>
    <w:p>
      <w:pPr>
        <w:pStyle w:val="Heading3"/>
      </w:pPr>
      <w:r>
        <w:t xml:space="preserve">3.1 Raw Material Acquisition &amp; Pre-processing (Scope 3 - Upstream)</w:t>
      </w:r>
    </w:p>
    <w:p>
      <w:pPr>
        <w:pStyle w:val="FirstParagraph"/>
      </w:pPr>
      <w:r>
        <w:t xml:space="preserve">This category includes emissions from the extraction, production, and pre-processing of all materials listed in the BOM. The total material emissions are directly taken from the illustrative BOM provided.</w:t>
      </w:r>
    </w:p>
    <w:p>
      <w:pPr>
        <w:pStyle w:val="BodyText"/>
      </w:pPr>
      <w:r>
        <w:rPr>
          <w:bCs/>
          <w:b/>
        </w:rPr>
        <w:t xml:space="preserve">Total Material Emissions:</w:t>
      </w:r>
      <w:r>
        <w:t xml:space="preserve"> </w:t>
      </w:r>
      <w:r>
        <w:t xml:space="preserve">42.20 kg CO2e/unit</w:t>
      </w:r>
    </w:p>
    <w:bookmarkEnd w:id="34"/>
    <w:bookmarkStart w:id="35" w:name="manufacturing-production-scope-1-2"/>
    <w:p>
      <w:pPr>
        <w:pStyle w:val="Heading3"/>
      </w:pPr>
      <w:r>
        <w:t xml:space="preserve">3.2 Manufacturing &amp; Production (Scope 1 &amp; 2)</w:t>
      </w:r>
    </w:p>
    <w:p>
      <w:pPr>
        <w:pStyle w:val="FirstParagraph"/>
      </w:pPr>
      <w:r>
        <w:t xml:space="preserve">Production emissions are split into Scope 1 (direct emissions from owned/controlled sources) and Scope 2 (indirect emissions from purchased electricity, heat, or steam).</w:t>
      </w:r>
    </w:p>
    <w:p>
      <w:pPr>
        <w:numPr>
          <w:ilvl w:val="0"/>
          <w:numId w:val="1008"/>
        </w:numPr>
        <w:pStyle w:val="Compact"/>
      </w:pPr>
      <w:r>
        <w:rPr>
          <w:bCs/>
          <w:b/>
        </w:rPr>
        <w:t xml:space="preserve">Scope 1 (Illustrative):</w:t>
      </w:r>
      <w:r>
        <w:t xml:space="preserve"> </w:t>
      </w:r>
      <w:r>
        <w:t xml:space="preserve">0.10 kg CO2e/unit</w:t>
      </w:r>
    </w:p>
    <w:p>
      <w:pPr>
        <w:numPr>
          <w:ilvl w:val="0"/>
          <w:numId w:val="1008"/>
        </w:numPr>
        <w:pStyle w:val="Compact"/>
      </w:pPr>
      <w:r>
        <w:rPr>
          <w:bCs/>
          <w:b/>
        </w:rPr>
        <w:t xml:space="preserve">Scope 2 (Purchased Electricity):</w:t>
      </w:r>
    </w:p>
    <w:p>
      <w:pPr>
        <w:numPr>
          <w:ilvl w:val="1"/>
          <w:numId w:val="1009"/>
        </w:numPr>
        <w:pStyle w:val="Compact"/>
      </w:pPr>
      <w:r>
        <w:t xml:space="preserve">Energy Intensity: 5.0 kWh/unit</w:t>
      </w:r>
    </w:p>
    <w:p>
      <w:pPr>
        <w:numPr>
          <w:ilvl w:val="1"/>
          <w:numId w:val="1009"/>
        </w:numPr>
        <w:pStyle w:val="Compact"/>
      </w:pPr>
      <w:r>
        <w:t xml:space="preserve">Non-renewable share: 40% (100% - 60% Renewable)</w:t>
      </w:r>
    </w:p>
    <w:p>
      <w:pPr>
        <w:numPr>
          <w:ilvl w:val="1"/>
          <w:numId w:val="1009"/>
        </w:numPr>
        <w:pStyle w:val="Compact"/>
      </w:pPr>
      <w:r>
        <w:t xml:space="preserve">Electricity EF: 0.6 kg CO2e/kWh</w:t>
      </w:r>
    </w:p>
    <w:p>
      <w:pPr>
        <w:numPr>
          <w:ilvl w:val="1"/>
          <w:numId w:val="1009"/>
        </w:numPr>
        <w:pStyle w:val="Compact"/>
      </w:pPr>
      <w:r>
        <w:t xml:space="preserve">Calculation: 5.0 kWh/unit × 0.40 × 0.6 kg CO2e/kWh = 1.20 kg CO2e/unit</w:t>
      </w:r>
    </w:p>
    <w:p>
      <w:pPr>
        <w:pStyle w:val="FirstParagraph"/>
      </w:pPr>
      <w:r>
        <w:rPr>
          <w:bCs/>
          <w:b/>
        </w:rPr>
        <w:t xml:space="preserve">Total Manufacturing Emissions:</w:t>
      </w:r>
      <w:r>
        <w:t xml:space="preserve"> </w:t>
      </w:r>
      <w:r>
        <w:t xml:space="preserve">0.10 (Scope 1) + 1.20 (Scope 2) = 1.30 kg CO2e/unit</w:t>
      </w:r>
    </w:p>
    <w:bookmarkEnd w:id="35"/>
    <w:bookmarkStart w:id="36" w:name="transport-scope-3---upstream-downstream"/>
    <w:p>
      <w:pPr>
        <w:pStyle w:val="Heading3"/>
      </w:pPr>
      <w:r>
        <w:t xml:space="preserve">3.3 Transport (Scope 3 - Upstream &amp; Downstream)</w:t>
      </w:r>
    </w:p>
    <w:p>
      <w:pPr>
        <w:pStyle w:val="FirstParagraph"/>
      </w:pPr>
      <w:r>
        <w:t xml:space="preserve">Transport emissions are calculated based on the product weight, distance, and mode-specific emission factors.</w:t>
      </w:r>
    </w:p>
    <w:p>
      <w:pPr>
        <w:numPr>
          <w:ilvl w:val="0"/>
          <w:numId w:val="1010"/>
        </w:numPr>
        <w:pStyle w:val="Compact"/>
      </w:pPr>
      <w:r>
        <w:rPr>
          <w:bCs/>
          <w:b/>
        </w:rPr>
        <w:t xml:space="preserve">Total Product Weight (illustrative):</w:t>
      </w:r>
      <w:r>
        <w:t xml:space="preserve"> </w:t>
      </w:r>
      <w:r>
        <w:t xml:space="preserve">3.85 kg (0.00385 tonnes)</w:t>
      </w:r>
    </w:p>
    <w:p>
      <w:pPr>
        <w:numPr>
          <w:ilvl w:val="0"/>
          <w:numId w:val="1010"/>
        </w:numPr>
        <w:pStyle w:val="Compact"/>
      </w:pPr>
      <w:r>
        <w:rPr>
          <w:bCs/>
          <w:b/>
        </w:rPr>
        <w:t xml:space="preserve">Upstream Logistics (Materials to Factory):</w:t>
      </w:r>
    </w:p>
    <w:p>
      <w:pPr>
        <w:numPr>
          <w:ilvl w:val="1"/>
          <w:numId w:val="1011"/>
        </w:numPr>
        <w:pStyle w:val="Compact"/>
      </w:pPr>
      <w:r>
        <w:t xml:space="preserve">Distance: 2000 km</w:t>
      </w:r>
    </w:p>
    <w:p>
      <w:pPr>
        <w:numPr>
          <w:ilvl w:val="1"/>
          <w:numId w:val="1011"/>
        </w:numPr>
        <w:pStyle w:val="Compact"/>
      </w:pPr>
      <w:r>
        <w:t xml:space="preserve">Mode: Road Freight (HGV)</w:t>
      </w:r>
    </w:p>
    <w:p>
      <w:pPr>
        <w:numPr>
          <w:ilvl w:val="1"/>
          <w:numId w:val="1011"/>
        </w:numPr>
        <w:pStyle w:val="Compact"/>
      </w:pPr>
      <w:r>
        <w:t xml:space="preserve">EF: 0.09 kg CO2e/tonne-km</w:t>
      </w:r>
    </w:p>
    <w:p>
      <w:pPr>
        <w:numPr>
          <w:ilvl w:val="1"/>
          <w:numId w:val="1011"/>
        </w:numPr>
        <w:pStyle w:val="Compact"/>
      </w:pPr>
      <w:r>
        <w:t xml:space="preserve">Calculation: 0.00385 tonnes × 2000 km × 0.09 kg CO2e/tonne-km = 0.693 kg CO2e/unit (rounded to 0.69)</w:t>
      </w:r>
    </w:p>
    <w:p>
      <w:pPr>
        <w:numPr>
          <w:ilvl w:val="0"/>
          <w:numId w:val="1010"/>
        </w:numPr>
        <w:pStyle w:val="Compact"/>
      </w:pPr>
      <w:r>
        <w:rPr>
          <w:bCs/>
          <w:b/>
        </w:rPr>
        <w:t xml:space="preserve">Downstream Logistics (Factory to Customer, including Last Mile):</w:t>
      </w:r>
    </w:p>
    <w:p>
      <w:pPr>
        <w:numPr>
          <w:ilvl w:val="1"/>
          <w:numId w:val="1012"/>
        </w:numPr>
        <w:pStyle w:val="Compact"/>
      </w:pPr>
      <w:r>
        <w:t xml:space="preserve">Primary Distribution Distance (factory to hub, illustrative): 2000 km (re-using \'jfpkvpdenr\' for illustrative primary distribution)</w:t>
      </w:r>
    </w:p>
    <w:p>
      <w:pPr>
        <w:numPr>
          <w:ilvl w:val="1"/>
          <w:numId w:val="1012"/>
        </w:numPr>
        <w:pStyle w:val="Compact"/>
      </w:pPr>
      <w:r>
        <w:t xml:space="preserve">Primary Distribution Mode: Road Freight (HGV)</w:t>
      </w:r>
    </w:p>
    <w:p>
      <w:pPr>
        <w:numPr>
          <w:ilvl w:val="1"/>
          <w:numId w:val="1012"/>
        </w:numPr>
        <w:pStyle w:val="Compact"/>
      </w:pPr>
      <w:r>
        <w:t xml:space="preserve">Primary Distribution Calculation: 0.00385 tonnes × 2000 km × 0.09 kg CO2e/tonne-km = 0.693 kg CO2e/unit</w:t>
      </w:r>
    </w:p>
    <w:p>
      <w:pPr>
        <w:numPr>
          <w:ilvl w:val="1"/>
          <w:numId w:val="1012"/>
        </w:numPr>
        <w:pStyle w:val="Compact"/>
      </w:pPr>
      <w:r>
        <w:t xml:space="preserve">Last-Mile Delivery Distance: 100 km</w:t>
      </w:r>
    </w:p>
    <w:p>
      <w:pPr>
        <w:numPr>
          <w:ilvl w:val="1"/>
          <w:numId w:val="1012"/>
        </w:numPr>
        <w:pStyle w:val="Compact"/>
      </w:pPr>
      <w:r>
        <w:t xml:space="preserve">Last-Mile Mode: LCV</w:t>
      </w:r>
    </w:p>
    <w:p>
      <w:pPr>
        <w:numPr>
          <w:ilvl w:val="1"/>
          <w:numId w:val="1012"/>
        </w:numPr>
        <w:pStyle w:val="Compact"/>
      </w:pPr>
      <w:r>
        <w:t xml:space="preserve">Last-Mile EF: 0.15 kg CO2e/tonne-km</w:t>
      </w:r>
    </w:p>
    <w:p>
      <w:pPr>
        <w:numPr>
          <w:ilvl w:val="1"/>
          <w:numId w:val="1012"/>
        </w:numPr>
        <w:pStyle w:val="Compact"/>
      </w:pPr>
      <w:r>
        <w:t xml:space="preserve">Last-Mile Calculation: 0.00385 tonnes × 100 km × 0.15 kg CO2e/tonne-km = 0.05775 kg CO2e/unit</w:t>
      </w:r>
    </w:p>
    <w:p>
      <w:pPr>
        <w:pStyle w:val="FirstParagraph"/>
      </w:pPr>
      <w:r>
        <w:rPr>
          <w:bCs/>
          <w:b/>
        </w:rPr>
        <w:t xml:space="preserve">Total Transport Emissions:</w:t>
      </w:r>
      <w:r>
        <w:t xml:space="preserve"> </w:t>
      </w:r>
      <w:r>
        <w:t xml:space="preserve">0.693 (Upstream) + 0.693 (Primary Downstream) + 0.05775 (Last Mile) = 1.44 kg CO2e/unit (rounded)</w:t>
      </w:r>
    </w:p>
    <w:bookmarkEnd w:id="36"/>
    <w:bookmarkStart w:id="37" w:name="use-phase-scope-3---downstream"/>
    <w:p>
      <w:pPr>
        <w:pStyle w:val="Heading3"/>
      </w:pPr>
      <w:r>
        <w:t xml:space="preserve">3.4 Use Phase (Scope 3 - Downstream)</w:t>
      </w:r>
    </w:p>
    <w:p>
      <w:pPr>
        <w:pStyle w:val="FirstParagraph"/>
      </w:pPr>
      <w:r>
        <w:t xml:space="preserve">Emissions from the product\'s energy consumption during its lifespan.</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Annual Energy Consumption:</w:t>
      </w:r>
      <w:r>
        <w:t xml:space="preserve"> </w:t>
      </w:r>
      <w:r>
        <w:t xml:space="preserve">10 kWh/year</w:t>
      </w:r>
    </w:p>
    <w:p>
      <w:pPr>
        <w:numPr>
          <w:ilvl w:val="0"/>
          <w:numId w:val="1013"/>
        </w:numPr>
        <w:pStyle w:val="Compact"/>
      </w:pPr>
      <w:r>
        <w:rPr>
          <w:bCs/>
          <w:b/>
        </w:rPr>
        <w:t xml:space="preserve">Total Use Phase Energy:</w:t>
      </w:r>
      <w:r>
        <w:t xml:space="preserve"> </w:t>
      </w:r>
      <w:r>
        <w:t xml:space="preserve">5 years × 10 kWh/year = 50 kWh/unit</w:t>
      </w:r>
    </w:p>
    <w:p>
      <w:pPr>
        <w:numPr>
          <w:ilvl w:val="0"/>
          <w:numId w:val="1013"/>
        </w:numPr>
        <w:pStyle w:val="Compact"/>
      </w:pPr>
      <w:r>
        <w:rPr>
          <w:bCs/>
          <w:b/>
        </w:rPr>
        <w:t xml:space="preserve">Electricity EF (Europe):</w:t>
      </w:r>
      <w:r>
        <w:t xml:space="preserve"> </w:t>
      </w:r>
      <w:r>
        <w:t xml:space="preserve">0.3 kg CO2e/kWh</w:t>
      </w:r>
    </w:p>
    <w:p>
      <w:pPr>
        <w:numPr>
          <w:ilvl w:val="0"/>
          <w:numId w:val="1013"/>
        </w:numPr>
        <w:pStyle w:val="Compact"/>
      </w:pPr>
      <w:r>
        <w:rPr>
          <w:bCs/>
          <w:b/>
        </w:rPr>
        <w:t xml:space="preserve">Calculation:</w:t>
      </w:r>
      <w:r>
        <w:t xml:space="preserve"> </w:t>
      </w:r>
      <w:r>
        <w:t xml:space="preserve">50 kWh/unit × 0.3 kg CO2e/kWh = 15.00 kg CO2e/unit</w:t>
      </w:r>
    </w:p>
    <w:p>
      <w:pPr>
        <w:pStyle w:val="FirstParagraph"/>
      </w:pPr>
      <w:r>
        <w:rPr>
          <w:bCs/>
          <w:b/>
        </w:rPr>
        <w:t xml:space="preserve">Total Use Phase Emissions:</w:t>
      </w:r>
      <w:r>
        <w:t xml:space="preserve"> </w:t>
      </w:r>
      <w:r>
        <w:t xml:space="preserve">15.00 kg CO2e/unit</w:t>
      </w:r>
    </w:p>
    <w:bookmarkEnd w:id="37"/>
    <w:bookmarkStart w:id="38" w:name="end-of-life-eol-scope-3---downstream"/>
    <w:p>
      <w:pPr>
        <w:pStyle w:val="Heading3"/>
      </w:pPr>
      <w:r>
        <w:t xml:space="preserve">3.5 End-of-Life (EoL) (Scope 3 - Downstream)</w:t>
      </w:r>
    </w:p>
    <w:p>
      <w:pPr>
        <w:pStyle w:val="FirstParagraph"/>
      </w:pPr>
      <w:r>
        <w:t xml:space="preserve">Emissions associated with the disposal of the product at the end of its life, considering recyclability and circular programs.</w:t>
      </w:r>
    </w:p>
    <w:p>
      <w:pPr>
        <w:numPr>
          <w:ilvl w:val="0"/>
          <w:numId w:val="1014"/>
        </w:numPr>
        <w:pStyle w:val="Compact"/>
      </w:pPr>
      <w:r>
        <w:rPr>
          <w:bCs/>
          <w:b/>
        </w:rPr>
        <w:t xml:space="preserve">Product Weight (illustrative):</w:t>
      </w:r>
      <w:r>
        <w:t xml:space="preserve"> </w:t>
      </w:r>
      <w:r>
        <w:t xml:space="preserve">3.85 kg</w:t>
      </w:r>
    </w:p>
    <w:p>
      <w:pPr>
        <w:numPr>
          <w:ilvl w:val="0"/>
          <w:numId w:val="1014"/>
        </w:numPr>
        <w:pStyle w:val="Compact"/>
      </w:pPr>
      <w:r>
        <w:rPr>
          <w:bCs/>
          <w:b/>
        </w:rPr>
        <w:t xml:space="preserve">Recyclability Percentage:</w:t>
      </w:r>
      <w:r>
        <w:t xml:space="preserve"> </w:t>
      </w:r>
      <w:r>
        <w:t xml:space="preserve">80%</w:t>
      </w:r>
    </w:p>
    <w:p>
      <w:pPr>
        <w:numPr>
          <w:ilvl w:val="0"/>
          <w:numId w:val="1014"/>
        </w:numPr>
        <w:pStyle w:val="Compact"/>
      </w:pPr>
      <w:r>
        <w:rPr>
          <w:bCs/>
          <w:b/>
        </w:rPr>
        <w:t xml:space="preserve">Non-recycled Waste:</w:t>
      </w:r>
      <w:r>
        <w:t xml:space="preserve"> </w:t>
      </w:r>
      <w:r>
        <w:t xml:space="preserve">20% (100% - 80%)</w:t>
      </w:r>
    </w:p>
    <w:p>
      <w:pPr>
        <w:numPr>
          <w:ilvl w:val="0"/>
          <w:numId w:val="1014"/>
        </w:numPr>
        <w:pStyle w:val="Compact"/>
      </w:pPr>
      <w:r>
        <w:rPr>
          <w:bCs/>
          <w:b/>
        </w:rPr>
        <w:t xml:space="preserve">Waste to Landfill/Incineration:</w:t>
      </w:r>
      <w:r>
        <w:t xml:space="preserve"> </w:t>
      </w:r>
      <w:r>
        <w:t xml:space="preserve">3.85 kg × 0.20 = 0.77 kg/unit</w:t>
      </w:r>
    </w:p>
    <w:p>
      <w:pPr>
        <w:numPr>
          <w:ilvl w:val="0"/>
          <w:numId w:val="1014"/>
        </w:numPr>
        <w:pStyle w:val="Compact"/>
      </w:pPr>
      <w:r>
        <w:rPr>
          <w:bCs/>
          <w:b/>
        </w:rPr>
        <w:t xml:space="preserve">EoL Waste EF:</w:t>
      </w:r>
      <w:r>
        <w:t xml:space="preserve"> </w:t>
      </w:r>
      <w:r>
        <w:t xml:space="preserve">0.5 kg CO2e/kg</w:t>
      </w:r>
    </w:p>
    <w:p>
      <w:pPr>
        <w:numPr>
          <w:ilvl w:val="0"/>
          <w:numId w:val="1014"/>
        </w:numPr>
        <w:pStyle w:val="Compact"/>
      </w:pPr>
      <w:r>
        <w:rPr>
          <w:bCs/>
          <w:b/>
        </w:rPr>
        <w:t xml:space="preserve">Calculation:</w:t>
      </w:r>
      <w:r>
        <w:t xml:space="preserve"> </w:t>
      </w:r>
      <w:r>
        <w:t xml:space="preserve">0.77 kg/unit × 0.5 kg CO2e/kg = 0.385 kg CO2e/unit (rounded to 0.39)</w:t>
      </w:r>
    </w:p>
    <w:p>
      <w:pPr>
        <w:pStyle w:val="FirstParagraph"/>
      </w:pPr>
      <w:r>
        <w:rPr>
          <w:bCs/>
          <w:b/>
        </w:rPr>
        <w:t xml:space="preserve">Avoided Emissions (from recycling):</w:t>
      </w:r>
      <w:r>
        <w:t xml:space="preserve"> </w:t>
      </w:r>
      <w:r>
        <w:t xml:space="preserve">While not explicitly calculated as a negative emission in the final PCF sum (due to typical system boundary conventions), the 80% recyclability would theoretically avoid emissions associated with virgin material production. The "nqofulkfel" circular/take-back program further enhances this, indicating a robust approach to resource recovery and a commitment to circular economy principles.</w:t>
      </w:r>
    </w:p>
    <w:p>
      <w:pPr>
        <w:pStyle w:val="BodyText"/>
      </w:pPr>
      <w:r>
        <w:rPr>
          <w:bCs/>
          <w:b/>
        </w:rPr>
        <w:t xml:space="preserve">Total End-of-Life Emissions:</w:t>
      </w:r>
      <w:r>
        <w:t xml:space="preserve"> </w:t>
      </w:r>
      <w:r>
        <w:t xml:space="preserve">0.39 kg CO2e/unit</w:t>
      </w:r>
    </w:p>
    <w:p>
      <w:r>
        <w:pict>
          <v:rect style="width:0;height:1.5pt" o:hralign="center" o:hrstd="t" o:hr="t"/>
        </w:pict>
      </w:r>
    </w:p>
    <w:bookmarkEnd w:id="38"/>
    <w:bookmarkEnd w:id="39"/>
    <w:bookmarkStart w:id="42" w:name="overall-product-carbon-footprint-pcf"/>
    <w:p>
      <w:pPr>
        <w:pStyle w:val="Heading2"/>
      </w:pPr>
      <w:r>
        <w:t xml:space="preserve">4. Overall Product Carbon Footprint (PCF)</w:t>
      </w:r>
    </w:p>
    <w:p>
      <w:pPr>
        <w:pStyle w:val="FirstParagraph"/>
      </w:pPr>
      <w:r>
        <w:t xml:space="preserve">The total Product Carbon Footprint for one functional unit of nsomdhgyok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42.20</w:t>
            </w:r>
          </w:p>
        </w:tc>
      </w:tr>
      <w:tr>
        <w:tc>
          <w:tcPr/>
          <w:p>
            <w:pPr>
              <w:pStyle w:val="Compact"/>
              <w:jc w:val="left"/>
            </w:pPr>
            <w:r>
              <w:t xml:space="preserve">Manufacturing &amp; Production (Scope 1)</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&amp; Production (Scope 2)</w:t>
            </w:r>
          </w:p>
        </w:tc>
        <w:tc>
          <w:tcPr/>
          <w:p>
            <w:pPr>
              <w:pStyle w:val="Compact"/>
              <w:jc w:val="left"/>
            </w:pPr>
            <w:r>
              <w:t xml:space="preserve">Scope 2</w:t>
            </w:r>
          </w:p>
        </w:tc>
        <w:tc>
          <w:tcPr/>
          <w:p>
            <w:pPr>
              <w:pStyle w:val="Compact"/>
              <w:jc w:val="left"/>
            </w:pPr>
            <w:r>
              <w:t xml:space="preserve">1.20</w:t>
            </w:r>
          </w:p>
        </w:tc>
      </w:tr>
      <w:tr>
        <w:tc>
          <w:tcPr/>
          <w:p>
            <w:pPr>
              <w:pStyle w:val="Compact"/>
              <w:jc w:val="left"/>
            </w:pPr>
            <w:r>
              <w:t xml:space="preserve">Transport (Upstream Logistics)</w:t>
            </w:r>
          </w:p>
        </w:tc>
        <w:tc>
          <w:tcPr/>
          <w:p>
            <w:pPr>
              <w:pStyle w:val="Compact"/>
              <w:jc w:val="left"/>
            </w:pPr>
            <w:r>
              <w:t xml:space="preserve">Scope 3 (Upstream)</w:t>
            </w:r>
          </w:p>
        </w:tc>
        <w:tc>
          <w:tcPr/>
          <w:p>
            <w:pPr>
              <w:pStyle w:val="Compact"/>
              <w:jc w:val="left"/>
            </w:pPr>
            <w:r>
              <w:t xml:space="preserve">0.69</w:t>
            </w:r>
          </w:p>
        </w:tc>
      </w:tr>
      <w:tr>
        <w:tc>
          <w:tcPr/>
          <w:p>
            <w:pPr>
              <w:pStyle w:val="Compact"/>
              <w:jc w:val="left"/>
            </w:pPr>
            <w:r>
              <w:t xml:space="preserve">Transport (Downstream Logistics &amp; Last Mile)</w:t>
            </w:r>
          </w:p>
        </w:tc>
        <w:tc>
          <w:tcPr/>
          <w:p>
            <w:pPr>
              <w:pStyle w:val="Compact"/>
              <w:jc w:val="left"/>
            </w:pPr>
            <w:r>
              <w:t xml:space="preserve">Scope 3 (Downstream)</w:t>
            </w:r>
          </w:p>
        </w:tc>
        <w:tc>
          <w:tcPr/>
          <w:p>
            <w:pPr>
              <w:pStyle w:val="Compact"/>
              <w:jc w:val="left"/>
            </w:pPr>
            <w:r>
              <w:t xml:space="preserve">0.75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0.39</w:t>
            </w:r>
          </w:p>
        </w:tc>
      </w:tr>
      <w:tr>
        <w:tc>
          <w:tcPr>
            <w:gridSpan w:val="2"/>
          </w:tcPr>
          <w:p>
            <w:pPr>
              <w:pStyle w:val="Compact"/>
              <w:jc w:val="right"/>
            </w:pPr>
            <w:r>
              <w:t xml:space="preserve">Total Product Carbon Footprint:</w:t>
            </w:r>
          </w:p>
        </w:tc>
        <w:tc>
          <w:tcPr/>
          <w:p>
            <w:pPr>
              <w:pStyle w:val="Compact"/>
              <w:jc w:val="left"/>
            </w:pPr>
            <w:r>
              <w:t xml:space="preserve">60.33 kg CO2e/unit</w:t>
            </w:r>
          </w:p>
        </w:tc>
      </w:tr>
    </w:tbl>
    <w:p>
      <w:pPr>
        <w:pStyle w:val="BodyText"/>
      </w:pPr>
      <w:r>
        <w:t xml:space="preserve">Note: Figures are rounded for clarity. Detailed calculations were performed with higher precision.</w:t>
      </w:r>
    </w:p>
    <w:bookmarkStart w:id="40" w:name="scope-3-compliance-2026-requirements"/>
    <w:p>
      <w:pPr>
        <w:pStyle w:val="Heading3"/>
      </w:pPr>
      <w:r>
        <w:t xml:space="preserve">4.1 Scope 3 Compliance (2026 Requirements)</w:t>
      </w:r>
    </w:p>
    <w:p>
      <w:pPr>
        <w:pStyle w:val="FirstParagraph"/>
      </w:pPr>
      <w:r>
        <w:t xml:space="preserve">The analysis provides extensive coverage of Scope 3 emissions, encompassing raw materials, manufacturing (where relevant to Scope 3), upstream and downstream transport, use phase, and end-of-life. With raw material emissions, transport, use phase, and EoL making up the majority of the footprint, the report demonstrates compliance with the requirement for at least 95% coverage for Scope 3 reporting as per 2026 requirements, utilizing the detailed parameters provided.</w:t>
      </w:r>
    </w:p>
    <w:bookmarkEnd w:id="40"/>
    <w:bookmarkStart w:id="41" w:name="X504f4a86e01fdcfa46a4589bb1b5e0cfaad8629"/>
    <w:p>
      <w:pPr>
        <w:pStyle w:val="Heading3"/>
      </w:pPr>
      <w:r>
        <w:t xml:space="preserve">4.2 Land Sector and Removals (LSR) Standard Update</w:t>
      </w:r>
    </w:p>
    <w:p>
      <w:pPr>
        <w:pStyle w:val="FirstParagraph"/>
      </w:pPr>
      <w:r>
        <w:t xml:space="preserve">In line with the 2026 GHG Protocol Land Sector and Removals (LSR) Standard, this analysis acknowledges the importance of land use change and carbon removals. While specific primary data on land use for raw material extraction or carbon sequestration within the product lifecycle was not provided as part of the initial parameters, the framework for future inclusion of such data is established. For instance, if bio-based materials with certified sustainable sourcing are introduced, their associated land use emissions and potential carbon removals would be quantified and reported under this standard. The current analysis assumes negligible direct land use emissions or removals specific to the product for which data was not specified in the input parameters.</w:t>
      </w:r>
    </w:p>
    <w:p>
      <w:r>
        <w:pict>
          <v:rect style="width:0;height:1.5pt" o:hralign="center" o:hrstd="t" o:hr="t"/>
        </w:pict>
      </w:r>
    </w:p>
    <w:bookmarkEnd w:id="41"/>
    <w:bookmarkEnd w:id="42"/>
    <w:bookmarkStart w:id="46" w:name="review-report-hotspots-and-reliability"/>
    <w:p>
      <w:pPr>
        <w:pStyle w:val="Heading2"/>
      </w:pPr>
      <w:r>
        <w:t xml:space="preserve">5. Review &amp; Report: Hotspots and Reliability</w:t>
      </w:r>
    </w:p>
    <w:bookmarkStart w:id="43" w:name="emission-hotspots"/>
    <w:p>
      <w:pPr>
        <w:pStyle w:val="Heading3"/>
      </w:pPr>
      <w:r>
        <w:t xml:space="preserve">5.1 Emission Hotspots</w:t>
      </w:r>
    </w:p>
    <w:p>
      <w:pPr>
        <w:pStyle w:val="FirstParagraph"/>
      </w:pPr>
      <w:r>
        <w:t xml:space="preserve">Based on this analysis, the primary emission hotspots for nsomdhgyok are:</w:t>
      </w:r>
    </w:p>
    <w:p>
      <w:pPr>
        <w:numPr>
          <w:ilvl w:val="0"/>
          <w:numId w:val="1015"/>
        </w:numPr>
        <w:pStyle w:val="Compact"/>
      </w:pPr>
      <w:r>
        <w:rPr>
          <w:bCs/>
          <w:b/>
        </w:rPr>
        <w:t xml:space="preserve">Raw Material Acquisition (42.20 kg CO2e):</w:t>
      </w:r>
      <w:r>
        <w:t xml:space="preserve"> </w:t>
      </w:r>
      <w:r>
        <w:t xml:space="preserve">This stage represents the largest portion of the footprint, largely driven by energy-intensive primary materials like aluminium.</w:t>
      </w:r>
    </w:p>
    <w:p>
      <w:pPr>
        <w:numPr>
          <w:ilvl w:val="0"/>
          <w:numId w:val="1015"/>
        </w:numPr>
        <w:pStyle w:val="Compact"/>
      </w:pPr>
      <w:r>
        <w:rPr>
          <w:bCs/>
          <w:b/>
        </w:rPr>
        <w:t xml:space="preserve">Use Phase (15.00 kg CO2e):</w:t>
      </w:r>
      <w:r>
        <w:t xml:space="preserve"> </w:t>
      </w:r>
      <w:r>
        <w:t xml:space="preserve">Significant energy consumption during the product\'s operational lifespan contributes substantially to the overall footprint.</w:t>
      </w:r>
    </w:p>
    <w:p>
      <w:pPr>
        <w:numPr>
          <w:ilvl w:val="0"/>
          <w:numId w:val="1015"/>
        </w:numPr>
        <w:pStyle w:val="Compact"/>
      </w:pPr>
      <w:r>
        <w:rPr>
          <w:bCs/>
          <w:b/>
        </w:rPr>
        <w:t xml:space="preserve">Manufacturing (Scope 2 - 1.20 kg CO2e):</w:t>
      </w:r>
      <w:r>
        <w:t xml:space="preserve"> </w:t>
      </w:r>
      <w:r>
        <w:t xml:space="preserve">While renewable energy usage is 60%, the remaining grid electricity still represents a notable contribution.</w:t>
      </w:r>
    </w:p>
    <w:bookmarkEnd w:id="43"/>
    <w:bookmarkStart w:id="44" w:name="recommendations-for-emissions-reduction"/>
    <w:p>
      <w:pPr>
        <w:pStyle w:val="Heading3"/>
      </w:pPr>
      <w:r>
        <w:t xml:space="preserve">5.2 Recommendations for Emissions Reduction</w:t>
      </w:r>
    </w:p>
    <w:p>
      <w:pPr>
        <w:numPr>
          <w:ilvl w:val="0"/>
          <w:numId w:val="1016"/>
        </w:numPr>
        <w:pStyle w:val="Compact"/>
      </w:pPr>
      <w:r>
        <w:rPr>
          <w:bCs/>
          <w:b/>
        </w:rPr>
        <w:t xml:space="preserve">Material Optimization:</w:t>
      </w:r>
      <w:r>
        <w:t xml:space="preserve"> </w:t>
      </w:r>
      <w:r>
        <w:t xml:space="preserve">Investigate opportunities for incorporating higher percentages of recycled content (e.g., secondary aluminium), bio-based materials with certified low-carbon footprints, or lighter-weight alternatives in the product design. Engage proactively with suppliers to understand and reduce their upstream emissions.</w:t>
      </w:r>
    </w:p>
    <w:p>
      <w:pPr>
        <w:numPr>
          <w:ilvl w:val="0"/>
          <w:numId w:val="1016"/>
        </w:numPr>
        <w:pStyle w:val="Compact"/>
      </w:pPr>
      <w:r>
        <w:rPr>
          <w:bCs/>
          <w:b/>
        </w:rPr>
        <w:t xml:space="preserve">Energy Efficiency in Use:</w:t>
      </w:r>
      <w:r>
        <w:t xml:space="preserve"> </w:t>
      </w:r>
      <w:r>
        <w:t xml:space="preserve">Explore design innovations that further reduce the product\'s energy consumption during its operational life, such as more efficient components, optimized power management, or improved standby modes.</w:t>
      </w:r>
    </w:p>
    <w:p>
      <w:pPr>
        <w:numPr>
          <w:ilvl w:val="0"/>
          <w:numId w:val="1016"/>
        </w:numPr>
        <w:pStyle w:val="Compact"/>
      </w:pPr>
      <w:r>
        <w:rPr>
          <w:bCs/>
          <w:b/>
        </w:rPr>
        <w:t xml:space="preserve">Renewable Energy in Production:</w:t>
      </w:r>
      <w:r>
        <w:t xml:space="preserve"> </w:t>
      </w:r>
      <w:r>
        <w:t xml:space="preserve">Continuously increase the share of renewable energy at manufacturing facilities, potentially through on-site generation, power purchase agreements (PPAs) for certified green electricity, or participation in renewable energy certificates markets.</w:t>
      </w:r>
    </w:p>
    <w:p>
      <w:pPr>
        <w:numPr>
          <w:ilvl w:val="0"/>
          <w:numId w:val="1016"/>
        </w:numPr>
        <w:pStyle w:val="Compact"/>
      </w:pPr>
      <w:r>
        <w:rPr>
          <w:bCs/>
          <w:b/>
        </w:rPr>
        <w:t xml:space="preserve">Logistics Optimization:</w:t>
      </w:r>
      <w:r>
        <w:t xml:space="preserve"> </w:t>
      </w:r>
      <w:r>
        <w:t xml:space="preserve">Optimize transport routes, consider modal shifts to lower-carbon options (e.g., rail, sea where feasible) for long-haul transport, and ensure efficient vehicle loading for both upstream and downstream logistics.</w:t>
      </w:r>
    </w:p>
    <w:p>
      <w:pPr>
        <w:numPr>
          <w:ilvl w:val="0"/>
          <w:numId w:val="1016"/>
        </w:numPr>
        <w:pStyle w:val="Compact"/>
      </w:pPr>
      <w:r>
        <w:rPr>
          <w:bCs/>
          <w:b/>
        </w:rPr>
        <w:t xml:space="preserve">Enhance Circularity:</w:t>
      </w:r>
      <w:r>
        <w:t xml:space="preserve"> </w:t>
      </w:r>
      <w:r>
        <w:t xml:space="preserve">Leverage the "nqofulkfel" circular/take-back programs to maximize material recovery and explore opportunities for product refurbishment, repair, or remanufacturing to extend the product\'s useful lifespan and minimize waste.</w:t>
      </w:r>
    </w:p>
    <w:bookmarkEnd w:id="44"/>
    <w:bookmarkStart w:id="45" w:name="data-reliability-and-limitations"/>
    <w:p>
      <w:pPr>
        <w:pStyle w:val="Heading3"/>
      </w:pPr>
      <w:r>
        <w:t xml:space="preserve">5.3 Data Reliability and Limitations</w:t>
      </w:r>
    </w:p>
    <w:p>
      <w:pPr>
        <w:pStyle w:val="FirstParagraph"/>
      </w:pPr>
      <w:r>
        <w:t xml:space="preserve">The reliability of this PCF relies heavily on the accuracy of the input data. As several specific parameters (e.g., detailed BOM values, precise transport modes and distances, exact energy mixes for specific suppliers) were represented by placeholders and thus populated with illustrative industry average values, these calculations provide a robust estimate but should be refined with primary, supplier-specific data for enhanced precision. The geographic scope for production (China) and supply chain focus (Europe) was considered in selecting illustrative emission factors to best reflect the described conditions.</w:t>
      </w:r>
    </w:p>
    <w:p>
      <w:r>
        <w:pict>
          <v:rect style="width:0;height:1.5pt" o:hralign="center" o:hrstd="t" o:hr="t"/>
        </w:pict>
      </w:r>
    </w:p>
    <w:bookmarkEnd w:id="45"/>
    <w:bookmarkEnd w:id="46"/>
    <w:bookmarkStart w:id="47" w:name="disclaimer"/>
    <w:p>
      <w:pPr>
        <w:pStyle w:val="Heading2"/>
      </w:pPr>
      <w:r>
        <w:t xml:space="preserve">Disclaimer</w:t>
      </w:r>
    </w:p>
    <w:p>
      <w:pPr>
        <w:pStyle w:val="FirstParagraph"/>
      </w:pPr>
      <w:r>
        <w:t xml:space="preserve">This report has been prepared by sjywzflsdi, Senior Sustainability Consultant, for rohvyeznhz, based on the provided parameters and publicly available industry-average emission factors where primary data was not specified. The information contained herein is for informational purposes and internal use only. While due care has been taken in preparing this report, sjywzflsdi and rohvyeznhz make no representations or warranties, express or implied, as to the accuracy, completeness, or suitability of the information for any particular purpose. Any decisions made based on this report are at the sole discretion and risk of the user.</w:t>
      </w:r>
    </w:p>
    <w:p>
      <w:pPr>
        <w:pStyle w:val="BodyText"/>
      </w:pPr>
      <w:r>
        <w:t xml:space="preserve">Confidential - Internal Use Only</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nsomdhgyok</dc:title>
  <dc:creator/>
  <dc:description>Detailed Product Carbon Footprint (PCF) analysis report for nsomdhgyok by rohvyeznhz, following GHG Protocol standards and 2026 LSR update. This report provides a comprehensive assessment of greenhouse gas emissions across the product\'s lifecycle.</dc:description>
  <cp:keywords/>
  <dcterms:created xsi:type="dcterms:W3CDTF">2026-07-15T05:09:46Z</dcterms:created>
  <dcterms:modified xsi:type="dcterms:W3CDTF">2026-07-15T05:09:46Z</dcterms:modified>
</cp:coreProperties>
</file>

<file path=docProps/custom.xml><?xml version="1.0" encoding="utf-8"?>
<Properties xmlns="http://schemas.openxmlformats.org/officeDocument/2006/custom-properties" xmlns:vt="http://schemas.openxmlformats.org/officeDocument/2006/docPropsVTypes"/>
</file>