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nqnhyphrkp</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qnhyphrkp"/>
    <w:p>
      <w:pPr>
        <w:pStyle w:val="Heading2"/>
      </w:pPr>
      <w:r>
        <w:t xml:space="preserve">Product: nqnhyphrkp</w:t>
      </w:r>
    </w:p>
    <w:p>
      <w:pPr>
        <w:pStyle w:val="FirstParagraph"/>
      </w:pPr>
      <w:r>
        <w:rPr>
          <w:bCs/>
          <w:b/>
        </w:rPr>
        <w:t xml:space="preserve">Company:</w:t>
      </w:r>
      <w:r>
        <w:t xml:space="preserve"> </w:t>
      </w:r>
      <w:r>
        <w:t xml:space="preserve">hixhjrzuyq</w:t>
      </w:r>
    </w:p>
    <w:p>
      <w:pPr>
        <w:pStyle w:val="BodyText"/>
      </w:pPr>
      <w:r>
        <w:rPr>
          <w:bCs/>
          <w:b/>
        </w:rPr>
        <w:t xml:space="preserve">Senior Sustainability Consultant:</w:t>
      </w:r>
      <w:r>
        <w:t xml:space="preserve"> </w:t>
      </w:r>
      <w:r>
        <w:t xml:space="preserve">jqsfxdqjxq</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employing simulated parameter values where specific data was provided as placeholders. Actual values may vary.</w:t>
      </w:r>
    </w:p>
    <w:p>
      <w:pPr>
        <w:pStyle w:val="BodyText"/>
      </w:pPr>
      <w:r>
        <w:t xml:space="preserve">Generated Date: May 28, 2026</w:t>
      </w:r>
    </w:p>
    <w:bookmarkEnd w:id="20"/>
    <w:bookmarkEnd w:id="21"/>
    <w:p>
      <w:pPr>
        <w:pStyle w:val="BodyText"/>
      </w:pPr>
      <w:r>
        <w:t xml:space="preserve">Product Carbon Footprint Report - nqnhyphrkp</w:t>
      </w:r>
    </w:p>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nqnhyphrkp</w:t>
      </w:r>
      <w:r>
        <w:t xml:space="preserve">, manufactured by</w:t>
      </w:r>
      <w:r>
        <w:t xml:space="preserve"> </w:t>
      </w:r>
      <w:r>
        <w:rPr>
          <w:bCs/>
          <w:b/>
        </w:rPr>
        <w:t xml:space="preserve">hixhjrzuyq</w:t>
      </w:r>
      <w:r>
        <w:t xml:space="preserve">. The assessment was performed by Senior Sustainability Consultant</w:t>
      </w:r>
      <w:r>
        <w:t xml:space="preserve"> </w:t>
      </w:r>
      <w:r>
        <w:rPr>
          <w:bCs/>
          <w:b/>
        </w:rPr>
        <w:t xml:space="preserve">jqsfxdqjxq</w:t>
      </w:r>
      <w:r>
        <w:t xml:space="preserve">, adhering strictly to the Greenhouse Gas (GHG) Protocol standards, including the 2026 Land Sector and Removals (LSR) Standard update and ensuring comprehensive Scope 3 coverage. This cradle-to-grave analysis quantifies the greenhouse gas emissions associated with the product\'s entire lifecycle, from raw material extraction to its end-of-life, providing insights into key emission hotspots and opportunities for reduction.</w:t>
      </w:r>
    </w:p>
    <w:p>
      <w:r>
        <w:pict>
          <v:rect style="width:0;height:1.5pt" o:hralign="center" o:hrstd="t" o:hr="t"/>
        </w:pict>
      </w:r>
    </w:p>
    <w:bookmarkEnd w:id="22"/>
    <w:bookmarkStart w:id="28" w:name="introduction-and-scope-definition"/>
    <w:p>
      <w:pPr>
        <w:pStyle w:val="Heading1"/>
      </w:pPr>
      <w:r>
        <w:t xml:space="preserve">1. Introduction and Scope Definition</w:t>
      </w:r>
    </w:p>
    <w:p>
      <w:pPr>
        <w:pStyle w:val="FirstParagraph"/>
      </w:pPr>
      <w:r>
        <w:t xml:space="preserve">The Product Carbon Footprint (PCF) for nqnhyphrkp has been calculated following a systematic methodology aligned with the GHG Protocol Product Standard. The goal is to provide a transparent and accurate quantification of greenhouse gas (GHG) emissions over the product\'s entire lifecycle.</w:t>
      </w:r>
    </w:p>
    <w:bookmarkStart w:id="23" w:name="functional-unit"/>
    <w:p>
      <w:pPr>
        <w:pStyle w:val="Heading2"/>
      </w:pPr>
      <w:r>
        <w:t xml:space="preserve">1.1 Functional Unit</w:t>
      </w:r>
    </w:p>
    <w:p>
      <w:pPr>
        <w:pStyle w:val="FirstParagraph"/>
      </w:pPr>
      <w:r>
        <w:t xml:space="preserve">The functional unit for this PCF analysis is defined as</w:t>
      </w:r>
      <w:r>
        <w:t xml:space="preserve"> </w:t>
      </w:r>
      <w:r>
        <w:rPr>
          <w:bCs/>
          <w:b/>
        </w:rPr>
        <w:t xml:space="preserve">1.0 unit of nqnhyphrkp</w:t>
      </w:r>
      <w:r>
        <w:t xml:space="preserve">, fulfilling its intended purpose throughout its specified lifespan.</w:t>
      </w:r>
    </w:p>
    <w:bookmarkEnd w:id="23"/>
    <w:bookmarkStart w:id="24" w:name="system-boundary"/>
    <w:p>
      <w:pPr>
        <w:pStyle w:val="Heading2"/>
      </w:pPr>
      <w:r>
        <w:t xml:space="preserve">1.2 System Boundary</w:t>
      </w:r>
    </w:p>
    <w:p>
      <w:pPr>
        <w:pStyle w:val="FirstParagraph"/>
      </w:pPr>
      <w:r>
        <w:t xml:space="preserve">The system boundary for this PCF study is</w:t>
      </w:r>
      <w:r>
        <w:t xml:space="preserve"> </w:t>
      </w:r>
      <w:r>
        <w:rPr>
          <w:bCs/>
          <w:b/>
        </w:rPr>
        <w:t xml:space="preserve">Cradle-to-Grave</w:t>
      </w:r>
      <w:r>
        <w:t xml:space="preserve">. While manufacturing activities conclude at the \'factory_gate\' in China, the analysis extends to encompass all upstream (raw material acquisition, manufacturing of components) and downstream (transport, use phase, and end-of-life treatment) activities to provide a complete lifecycle perspective. This comprehensive approach is necessary to capture all significant GHG impacts as required by the specified parameters.</w:t>
      </w:r>
    </w:p>
    <w:bookmarkEnd w:id="24"/>
    <w:bookmarkStart w:id="25" w:name="geographic-scope"/>
    <w:p>
      <w:pPr>
        <w:pStyle w:val="Heading2"/>
      </w:pPr>
      <w:r>
        <w:t xml:space="preserve">1.3 Geographic Scope</w:t>
      </w:r>
    </w:p>
    <w:p>
      <w:pPr>
        <w:pStyle w:val="FirstParagraph"/>
      </w:pPr>
      <w:r>
        <w:t xml:space="preserve">The geographic scope covers the global supply chain for raw material acquisition, with final product manufacturing occurring in</w:t>
      </w:r>
      <w:r>
        <w:t xml:space="preserve"> </w:t>
      </w:r>
      <w:r>
        <w:rPr>
          <w:bCs/>
          <w:b/>
        </w:rPr>
        <w:t xml:space="preserve">China</w:t>
      </w:r>
      <w:r>
        <w:t xml:space="preserve">. The subsequent transport and distribution are primarily</w:t>
      </w:r>
      <w:r>
        <w:t xml:space="preserve"> </w:t>
      </w:r>
      <w:r>
        <w:rPr>
          <w:bCs/>
          <w:b/>
        </w:rPr>
        <w:t xml:space="preserve">Europe Focused</w:t>
      </w:r>
      <w:r>
        <w:t xml:space="preserve">, where the product\'s use phase and end-of-life scenarios are also considered.</w:t>
      </w:r>
    </w:p>
    <w:bookmarkEnd w:id="25"/>
    <w:bookmarkStart w:id="26" w:name="accounting-standard"/>
    <w:p>
      <w:pPr>
        <w:pStyle w:val="Heading2"/>
      </w:pPr>
      <w:r>
        <w:t xml:space="preserve">1.4 Accounting Standard</w:t>
      </w:r>
    </w:p>
    <w:p>
      <w:pPr>
        <w:pStyle w:val="FirstParagraph"/>
      </w:pPr>
      <w:r>
        <w:t xml:space="preserve">This PCF analysis strictly adheres to the</w:t>
      </w:r>
      <w:r>
        <w:t xml:space="preserve"> </w:t>
      </w:r>
      <w:r>
        <w:rPr>
          <w:bCs/>
          <w:b/>
        </w:rPr>
        <w:t xml:space="preserve">GHG Protocol</w:t>
      </w:r>
      <w:r>
        <w:t xml:space="preserve"> </w:t>
      </w:r>
      <w:r>
        <w:t xml:space="preserve">Corporate Accounting and Reporting Standard and the Product Life Cycle Accounting and Reporting Standard. Emissions are categorized into Scope 1 (direct emissions), Scope 2 (indirect emissions from purchased energy), and Scope 3 (all other indirect emissions in the value chain).</w:t>
      </w:r>
    </w:p>
    <w:bookmarkEnd w:id="26"/>
    <w:bookmarkStart w:id="27" w:name="allocation"/>
    <w:p>
      <w:pPr>
        <w:pStyle w:val="Heading2"/>
      </w:pPr>
      <w:r>
        <w:t xml:space="preserve">1.5 Allocation</w:t>
      </w:r>
    </w:p>
    <w:p>
      <w:pPr>
        <w:pStyle w:val="FirstParagraph"/>
      </w:pPr>
      <w:r>
        <w:t xml:space="preserve">Emissions are allocated to the functional unit based on mass for materials and energy consumption during production and use. For multi-product systems, economic allocation would typically be considered, but for this single product analysis, all relevant emissions are attributed directly to nqnhyphrkp. Recycling benefits are accounted for at the end-of-life stage by considering avoided emissions from virgin material production, where applicable, or by calculating emissions from the un-recycled portion.</w:t>
      </w:r>
    </w:p>
    <w:p>
      <w:r>
        <w:pict>
          <v:rect style="width:0;height:1.5pt" o:hralign="center" o:hrstd="t" o:hr="t"/>
        </w:pict>
      </w:r>
    </w:p>
    <w:bookmarkEnd w:id="27"/>
    <w:bookmarkEnd w:id="28"/>
    <w:bookmarkStart w:id="35" w:name="X07cf0ea829f60a4f8fa47c00f72a11793fbe483"/>
    <w:p>
      <w:pPr>
        <w:pStyle w:val="Heading1"/>
      </w:pPr>
      <w:r>
        <w:t xml:space="preserve">2. Lifecycle Mapping (LCI Inventory Stages) &amp; 3. Data Collection</w:t>
      </w:r>
    </w:p>
    <w:p>
      <w:pPr>
        <w:pStyle w:val="FirstParagraph"/>
      </w:pPr>
      <w:r>
        <w:t xml:space="preserve">The lifecycle of nqnhyphrkp is mapped across five key stages, with data collected from primary (provided parameters) and secondary (industry-standard emission factors) sources.</w:t>
      </w:r>
    </w:p>
    <w:bookmarkStart w:id="30" w:name="X1b0368d9fa279ce5f642e6e7a88ce573ab93153"/>
    <w:p>
      <w:pPr>
        <w:pStyle w:val="Heading2"/>
      </w:pPr>
      <w:r>
        <w:t xml:space="preserve">2.1 Raw Material Acquisition &amp; Processing (Scope 3 - Upstream)</w:t>
      </w:r>
    </w:p>
    <w:p>
      <w:pPr>
        <w:pStyle w:val="FirstParagraph"/>
      </w:pPr>
      <w:r>
        <w:t xml:space="preserve">This stage includes the extraction, processing, and manufacturing of all components and packaging materials specified in the Detailed Bill of Materials (BOM). The BOM provides high-accuracy material impact calculation, overriding default estimates.</w:t>
      </w:r>
    </w:p>
    <w:bookmarkStart w:id="29" w:name="X03d0f304c5ac3f7696e85446b5277a31df694a7"/>
    <w:p>
      <w:pPr>
        <w:pStyle w:val="Heading3"/>
      </w:pPr>
      <w:r>
        <w:t xml:space="preserve">Detailed Bill of Materials (BOM): lhzhthzk (Simulated Data)</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2.00</w:t>
            </w:r>
          </w:p>
        </w:tc>
        <w:tc>
          <w:tcPr/>
          <w:p>
            <w:pPr>
              <w:pStyle w:val="Compact"/>
              <w:jc w:val="left"/>
            </w:pPr>
            <w:r>
              <w:t xml:space="preserve">0.10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Corrugation</w:t>
            </w:r>
          </w:p>
        </w:tc>
        <w:tc>
          <w:tcPr/>
          <w:p>
            <w:pPr>
              <w:pStyle w:val="Compact"/>
              <w:jc w:val="left"/>
            </w:pPr>
            <w:r>
              <w:t xml:space="preserve">0.20</w:t>
            </w:r>
          </w:p>
        </w:tc>
        <w:tc>
          <w:tcPr/>
          <w:p>
            <w:pPr>
              <w:pStyle w:val="Compact"/>
              <w:jc w:val="left"/>
            </w:pPr>
            <w:r>
              <w:t xml:space="preserve">1.00</w:t>
            </w:r>
          </w:p>
        </w:tc>
        <w:tc>
          <w:tcPr/>
          <w:p>
            <w:pPr>
              <w:pStyle w:val="Compact"/>
              <w:jc w:val="left"/>
            </w:pPr>
            <w:r>
              <w:t xml:space="preserve">0.20</w:t>
            </w:r>
          </w:p>
        </w:tc>
      </w:tr>
      <w:tr>
        <w:tc>
          <w:tcPr>
            <w:gridSpan w:val="4"/>
          </w:tcPr>
          <w:p>
            <w:pPr>
              <w:pStyle w:val="Compact"/>
              <w:jc w:val="right"/>
            </w:pPr>
            <w:r>
              <w:t xml:space="preserve">Total Product Mass:</w:t>
            </w:r>
          </w:p>
        </w:tc>
        <w:tc>
          <w:tcPr/>
          <w:p>
            <w:pPr>
              <w:pStyle w:val="Compact"/>
              <w:jc w:val="left"/>
            </w:pPr>
            <w:r>
              <w:t xml:space="preserve">0.85 kg</w:t>
            </w:r>
          </w:p>
        </w:tc>
        <w:tc>
          <w:tcPr>
            <w:gridSpan w:val="2"/>
          </w:tcPr>
          <w:p>
            <w:pPr>
              <w:pStyle w:val="Compact"/>
            </w:pPr>
          </w:p>
        </w:tc>
      </w:tr>
      <w:tr>
        <w:tc>
          <w:tcPr>
            <w:gridSpan w:val="6"/>
          </w:tcPr>
          <w:p>
            <w:pPr>
              <w:pStyle w:val="Compact"/>
              <w:jc w:val="right"/>
            </w:pPr>
            <w:r>
              <w:t xml:space="preserve">Subtotal Raw Materials Emissions:</w:t>
            </w:r>
          </w:p>
        </w:tc>
        <w:tc>
          <w:tcPr/>
          <w:p>
            <w:pPr>
              <w:pStyle w:val="Compact"/>
              <w:jc w:val="left"/>
            </w:pPr>
            <w:r>
              <w:t xml:space="preserve">3.55 kg CO2e</w:t>
            </w:r>
          </w:p>
        </w:tc>
      </w:tr>
    </w:tbl>
    <w:p>
      <w:pPr>
        <w:pStyle w:val="BodyText"/>
      </w:pPr>
      <w:r>
        <w:t xml:space="preserve">The total mass of the product (nqnhyphrkp) for transport calculations is estimated at 0.85 kg.</w:t>
      </w:r>
    </w:p>
    <w:bookmarkEnd w:id="29"/>
    <w:bookmarkEnd w:id="30"/>
    <w:bookmarkStart w:id="31" w:name="manufacturing-scope-1-2"/>
    <w:p>
      <w:pPr>
        <w:pStyle w:val="Heading2"/>
      </w:pPr>
      <w:r>
        <w:t xml:space="preserve">2.2 Manufacturing (Scope 1 &amp; 2)</w:t>
      </w:r>
    </w:p>
    <w:p>
      <w:pPr>
        <w:pStyle w:val="FirstParagraph"/>
      </w:pPr>
      <w:r>
        <w:t xml:space="preserve">This stage covers energy consumption and any direct process emissions at the manufacturing facility in China.</w:t>
      </w:r>
    </w:p>
    <w:p>
      <w:pPr>
        <w:numPr>
          <w:ilvl w:val="0"/>
          <w:numId w:val="1001"/>
        </w:numPr>
        <w:pStyle w:val="Compact"/>
      </w:pPr>
      <w:r>
        <w:t xml:space="preserve">Energy Intensity (kWh/unit):</w:t>
      </w:r>
      <w:r>
        <w:t xml:space="preserve"> </w:t>
      </w:r>
      <w:r>
        <w:rPr>
          <w:bCs/>
          <w:b/>
        </w:rPr>
        <w:t xml:space="preserve">jnitwhkixd</w:t>
      </w:r>
      <w:r>
        <w:t xml:space="preserve"> </w:t>
      </w:r>
      <w:r>
        <w:t xml:space="preserve">(25 kWh/unit)</w:t>
      </w:r>
    </w:p>
    <w:p>
      <w:pPr>
        <w:numPr>
          <w:ilvl w:val="0"/>
          <w:numId w:val="1001"/>
        </w:numPr>
        <w:pStyle w:val="Compact"/>
      </w:pPr>
      <w:r>
        <w:t xml:space="preserve">Renewable Energy Usage:</w:t>
      </w:r>
      <w:r>
        <w:t xml:space="preserve"> </w:t>
      </w:r>
      <w:r>
        <w:rPr>
          <w:bCs/>
          <w:b/>
        </w:rPr>
        <w:t xml:space="preserve">swmwxojxyq</w:t>
      </w:r>
      <w:r>
        <w:t xml:space="preserve"> </w:t>
      </w:r>
      <w:r>
        <w:t xml:space="preserve">(60%)</w:t>
      </w:r>
    </w:p>
    <w:p>
      <w:pPr>
        <w:numPr>
          <w:ilvl w:val="0"/>
          <w:numId w:val="1001"/>
        </w:numPr>
        <w:pStyle w:val="Compact"/>
      </w:pPr>
      <w:r>
        <w:t xml:space="preserve">Non-Renewable Energy Consumption: 25 kWh * (1 - 0.60) = 10 kWh</w:t>
      </w:r>
    </w:p>
    <w:p>
      <w:pPr>
        <w:numPr>
          <w:ilvl w:val="0"/>
          <w:numId w:val="1001"/>
        </w:numPr>
        <w:pStyle w:val="Compact"/>
      </w:pPr>
      <w:r>
        <w:t xml:space="preserve">China Electricity Grid Emission Factor: 0.65 kg CO2e/kWh (estimated for 2026, considering decreasing trends from 2020 values).</w:t>
      </w:r>
    </w:p>
    <w:p>
      <w:pPr>
        <w:numPr>
          <w:ilvl w:val="0"/>
          <w:numId w:val="1001"/>
        </w:numPr>
        <w:pStyle w:val="Compact"/>
      </w:pPr>
      <w:r>
        <w:t xml:space="preserve">Direct Process Emissions (Scope 1): Assumed negligible for this product based on available parameters.</w:t>
      </w:r>
    </w:p>
    <w:bookmarkEnd w:id="31"/>
    <w:bookmarkStart w:id="32" w:name="transport-scope-3---upstream-downstream"/>
    <w:p>
      <w:pPr>
        <w:pStyle w:val="Heading2"/>
      </w:pPr>
      <w:r>
        <w:t xml:space="preserve">2.3 Transport (Scope 3 - Upstream &amp; Downstream)</w:t>
      </w:r>
    </w:p>
    <w:p>
      <w:pPr>
        <w:pStyle w:val="FirstParagraph"/>
      </w:pPr>
      <w:r>
        <w:t xml:space="preserve">This stage includes the transportation of raw materials to the factory, and the finished product to the customer.</w:t>
      </w:r>
    </w:p>
    <w:p>
      <w:pPr>
        <w:numPr>
          <w:ilvl w:val="0"/>
          <w:numId w:val="1002"/>
        </w:numPr>
        <w:pStyle w:val="Compact"/>
      </w:pPr>
      <w:r>
        <w:t xml:space="preserve">Primary Transport (China to Europe):</w:t>
      </w:r>
      <w:r>
        <w:t xml:space="preserve"> </w:t>
      </w:r>
      <w:r>
        <w:rPr>
          <w:bCs/>
          <w:b/>
        </w:rPr>
        <w:t xml:space="preserve">Select Mode</w:t>
      </w:r>
      <w:r>
        <w:t xml:space="preserve"> </w:t>
      </w:r>
      <w:r>
        <w:t xml:space="preserve">(Ocean Freight) over a distance of ~12,000 km.</w:t>
      </w:r>
    </w:p>
    <w:p>
      <w:pPr>
        <w:numPr>
          <w:ilvl w:val="0"/>
          <w:numId w:val="1002"/>
        </w:numPr>
        <w:pStyle w:val="Compact"/>
      </w:pPr>
      <w:r>
        <w:t xml:space="preserve">Secondary Transport (within Europe):</w:t>
      </w:r>
      <w:r>
        <w:t xml:space="preserve"> </w:t>
      </w:r>
      <w:r>
        <w:rPr>
          <w:bCs/>
          <w:b/>
        </w:rPr>
        <w:t xml:space="preserve">Select Mode</w:t>
      </w:r>
      <w:r>
        <w:t xml:space="preserve"> </w:t>
      </w:r>
      <w:r>
        <w:t xml:space="preserve">(Road Freight) over a distance of ~800 km.</w:t>
      </w:r>
    </w:p>
    <w:p>
      <w:pPr>
        <w:numPr>
          <w:ilvl w:val="0"/>
          <w:numId w:val="1002"/>
        </w:numPr>
        <w:pStyle w:val="Compact"/>
      </w:pPr>
      <w:r>
        <w:t xml:space="preserve">Last-Mile Delivery:</w:t>
      </w:r>
      <w:r>
        <w:t xml:space="preserve"> </w:t>
      </w:r>
      <w:r>
        <w:rPr>
          <w:bCs/>
          <w:b/>
        </w:rPr>
        <w:t xml:space="preserve">Delivery Type</w:t>
      </w:r>
      <w:r>
        <w:t xml:space="preserve"> </w:t>
      </w:r>
      <w:r>
        <w:t xml:space="preserve">(Standard Parcel Service, Diesel Van) over a distance of ~50 km.</w:t>
      </w:r>
    </w:p>
    <w:p>
      <w:pPr>
        <w:numPr>
          <w:ilvl w:val="0"/>
          <w:numId w:val="1002"/>
        </w:numPr>
        <w:pStyle w:val="Compact"/>
      </w:pPr>
      <w:r>
        <w:t xml:space="preserve">Ocean Freight Emission Factor: 0.01 kg CO2e/tonne-km.</w:t>
      </w:r>
    </w:p>
    <w:p>
      <w:pPr>
        <w:numPr>
          <w:ilvl w:val="0"/>
          <w:numId w:val="1002"/>
        </w:numPr>
        <w:pStyle w:val="Compact"/>
      </w:pPr>
      <w:r>
        <w:t xml:space="preserve">Road Freight Emission Factor (Heavy Goods Vehicle): 0.10 kg CO2e/tonne-km.</w:t>
      </w:r>
    </w:p>
    <w:p>
      <w:pPr>
        <w:numPr>
          <w:ilvl w:val="0"/>
          <w:numId w:val="1002"/>
        </w:numPr>
        <w:pStyle w:val="Compact"/>
      </w:pPr>
      <w:r>
        <w:t xml:space="preserve">Road Freight Emission Factor (Light Commercial Vehicle/Parcel): 0.20 kg CO2e/tonne-km (estimated for last-mile).</w:t>
      </w:r>
    </w:p>
    <w:bookmarkEnd w:id="32"/>
    <w:bookmarkStart w:id="33" w:name="use-phase-scope-3---downstream"/>
    <w:p>
      <w:pPr>
        <w:pStyle w:val="Heading2"/>
      </w:pPr>
      <w:r>
        <w:t xml:space="preserve">2.4 Use Phase (Scope 3 - Downstream)</w:t>
      </w:r>
    </w:p>
    <w:p>
      <w:pPr>
        <w:pStyle w:val="FirstParagraph"/>
      </w:pPr>
      <w:r>
        <w:t xml:space="preserve">This stage accounts for the energy consumed by the product during its operational lifetime.</w:t>
      </w:r>
    </w:p>
    <w:p>
      <w:pPr>
        <w:numPr>
          <w:ilvl w:val="0"/>
          <w:numId w:val="1003"/>
        </w:numPr>
        <w:pStyle w:val="Compact"/>
      </w:pPr>
      <w:r>
        <w:t xml:space="preserve">Product Lifespan:</w:t>
      </w:r>
      <w:r>
        <w:t xml:space="preserve"> </w:t>
      </w:r>
      <w:r>
        <w:rPr>
          <w:bCs/>
          <w:b/>
        </w:rPr>
        <w:t xml:space="preserve">spnxlplznl</w:t>
      </w:r>
      <w:r>
        <w:t xml:space="preserve"> </w:t>
      </w:r>
      <w:r>
        <w:t xml:space="preserve">(3 years)</w:t>
      </w:r>
    </w:p>
    <w:p>
      <w:pPr>
        <w:numPr>
          <w:ilvl w:val="0"/>
          <w:numId w:val="1003"/>
        </w:numPr>
        <w:pStyle w:val="Compact"/>
      </w:pPr>
      <w:r>
        <w:t xml:space="preserve">Energy Consumption in Use:</w:t>
      </w:r>
      <w:r>
        <w:t xml:space="preserve"> </w:t>
      </w:r>
      <w:r>
        <w:rPr>
          <w:bCs/>
          <w:b/>
        </w:rPr>
        <w:t xml:space="preserve">yhxotryems</w:t>
      </w:r>
      <w:r>
        <w:t xml:space="preserve"> </w:t>
      </w:r>
      <w:r>
        <w:t xml:space="preserve">(10 kWh/year)</w:t>
      </w:r>
    </w:p>
    <w:p>
      <w:pPr>
        <w:numPr>
          <w:ilvl w:val="0"/>
          <w:numId w:val="1003"/>
        </w:numPr>
        <w:pStyle w:val="Compact"/>
      </w:pPr>
      <w:r>
        <w:t xml:space="preserve">Total Use Phase Energy: 10 kWh/year * 3 years = 30 kWh</w:t>
      </w:r>
    </w:p>
    <w:p>
      <w:pPr>
        <w:numPr>
          <w:ilvl w:val="0"/>
          <w:numId w:val="1003"/>
        </w:numPr>
        <w:pStyle w:val="Compact"/>
      </w:pPr>
      <w:r>
        <w:t xml:space="preserve">Europe Electricity Grid Emission Factor: 0.20 kg CO2e/kWh (average for 2026, considering decarbonization trends).</w:t>
      </w:r>
    </w:p>
    <w:bookmarkEnd w:id="33"/>
    <w:bookmarkStart w:id="34" w:name="end-of-life-eol-scope-3---downstream"/>
    <w:p>
      <w:pPr>
        <w:pStyle w:val="Heading2"/>
      </w:pPr>
      <w:r>
        <w:t xml:space="preserve">2.5 End-of-Life (EoL) (Scope 3 - Downstream)</w:t>
      </w:r>
    </w:p>
    <w:p>
      <w:pPr>
        <w:pStyle w:val="FirstParagraph"/>
      </w:pPr>
      <w:r>
        <w:t xml:space="preserve">This stage addresses the emissions associated with the disposal or recycling of the product at the end of its useful life.</w:t>
      </w:r>
    </w:p>
    <w:p>
      <w:pPr>
        <w:numPr>
          <w:ilvl w:val="0"/>
          <w:numId w:val="1004"/>
        </w:numPr>
        <w:pStyle w:val="Compact"/>
      </w:pPr>
      <w:r>
        <w:t xml:space="preserve">Recyclability Percentage:</w:t>
      </w:r>
      <w:r>
        <w:t xml:space="preserve"> </w:t>
      </w:r>
      <w:r>
        <w:rPr>
          <w:bCs/>
          <w:b/>
        </w:rPr>
        <w:t xml:space="preserve">stuqevflld</w:t>
      </w:r>
      <w:r>
        <w:t xml:space="preserve"> </w:t>
      </w:r>
      <w:r>
        <w:t xml:space="preserve">(75%)</w:t>
      </w:r>
    </w:p>
    <w:p>
      <w:pPr>
        <w:numPr>
          <w:ilvl w:val="0"/>
          <w:numId w:val="1004"/>
        </w:numPr>
        <w:pStyle w:val="Compact"/>
      </w:pPr>
      <w:r>
        <w:t xml:space="preserve">Circular/Take-back Programs:</w:t>
      </w:r>
      <w:r>
        <w:t xml:space="preserve"> </w:t>
      </w:r>
      <w:r>
        <w:rPr>
          <w:bCs/>
          <w:b/>
        </w:rPr>
        <w:t xml:space="preserve">klzpmgumul</w:t>
      </w:r>
      <w:r>
        <w:t xml:space="preserve"> </w:t>
      </w:r>
      <w:r>
        <w:t xml:space="preserve">(Company-operated take-back program for core components, aiming for refurbishment and material recovery.)</w:t>
      </w:r>
    </w:p>
    <w:p>
      <w:pPr>
        <w:numPr>
          <w:ilvl w:val="0"/>
          <w:numId w:val="1004"/>
        </w:numPr>
        <w:pStyle w:val="Compact"/>
      </w:pPr>
      <w:r>
        <w:t xml:space="preserve">Disposed Portion: 1 - 0.75 = 0.25 (25% of product mass)</w:t>
      </w:r>
    </w:p>
    <w:p>
      <w:pPr>
        <w:numPr>
          <w:ilvl w:val="0"/>
          <w:numId w:val="1004"/>
        </w:numPr>
        <w:pStyle w:val="Compact"/>
      </w:pPr>
      <w:r>
        <w:t xml:space="preserve">Landfill Emission Factor (mixed waste): 0.1 kg CO2e/kg.</w:t>
      </w:r>
    </w:p>
    <w:p>
      <w:pPr>
        <w:numPr>
          <w:ilvl w:val="0"/>
          <w:numId w:val="1004"/>
        </w:numPr>
        <w:pStyle w:val="Compact"/>
      </w:pPr>
      <w:r>
        <w:t xml:space="preserve">The circular economy programs aim to reduce this impact by increasing material recovery and reuse.</w:t>
      </w:r>
    </w:p>
    <w:p>
      <w:r>
        <w:pict>
          <v:rect style="width:0;height:1.5pt" o:hralign="center" o:hrstd="t" o:hr="t"/>
        </w:pict>
      </w:r>
    </w:p>
    <w:bookmarkEnd w:id="34"/>
    <w:bookmarkEnd w:id="35"/>
    <w:bookmarkStart w:id="42" w:name="Xe1cbb2a9d8067de48bfc1efa70b5187524e4eb6"/>
    <w:p>
      <w:pPr>
        <w:pStyle w:val="Heading1"/>
      </w:pPr>
      <w:r>
        <w:t xml:space="preserve">4. Emission Calculation and GHG Protocol Scopes</w:t>
      </w:r>
    </w:p>
    <w:p>
      <w:pPr>
        <w:pStyle w:val="FirstParagraph"/>
      </w:pPr>
      <w:r>
        <w:t xml:space="preserve">Emissions are calculated by multiplying activity data by appropriate emission factors. The results are categorized according to the GHG Protocol\'s Scope 1, 2, and 3 definitions.</w:t>
      </w:r>
    </w:p>
    <w:bookmarkStart w:id="36" w:name="summary-of-emissions-by-lifecycle-stage"/>
    <w:p>
      <w:pPr>
        <w:pStyle w:val="Heading2"/>
      </w:pPr>
      <w:r>
        <w:t xml:space="preserve">4.1 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3.55</w:t>
            </w:r>
          </w:p>
        </w:tc>
      </w:tr>
      <w:tr>
        <w:tc>
          <w:tcPr/>
          <w:p>
            <w:pPr>
              <w:pStyle w:val="Compact"/>
              <w:jc w:val="left"/>
            </w:pPr>
            <w:r>
              <w:t xml:space="preserve">Manufacturing</w:t>
            </w:r>
          </w:p>
        </w:tc>
        <w:tc>
          <w:tcPr/>
          <w:p>
            <w:pPr>
              <w:pStyle w:val="Compact"/>
              <w:jc w:val="left"/>
            </w:pPr>
            <w:r>
              <w:t xml:space="preserve">Scope 1 &amp; 2</w:t>
            </w:r>
          </w:p>
        </w:tc>
        <w:tc>
          <w:tcPr/>
          <w:p>
            <w:pPr>
              <w:pStyle w:val="Compact"/>
              <w:jc w:val="left"/>
            </w:pPr>
            <w:r>
              <w:t xml:space="preserve">6.50</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0.18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0.02</w:t>
            </w:r>
          </w:p>
        </w:tc>
      </w:tr>
      <w:tr>
        <w:tc>
          <w:tcPr>
            <w:gridSpan w:val="2"/>
          </w:tcPr>
          <w:p>
            <w:pPr>
              <w:pStyle w:val="Compact"/>
              <w:jc w:val="right"/>
            </w:pPr>
            <w:r>
              <w:t xml:space="preserve">Total Product Carbon Footprint:</w:t>
            </w:r>
          </w:p>
        </w:tc>
        <w:tc>
          <w:tcPr/>
          <w:p>
            <w:pPr>
              <w:pStyle w:val="Compact"/>
              <w:jc w:val="left"/>
            </w:pPr>
            <w:r>
              <w:t xml:space="preserve">16.25 kg CO2e</w:t>
            </w:r>
          </w:p>
        </w:tc>
      </w:tr>
    </w:tbl>
    <w:bookmarkEnd w:id="36"/>
    <w:bookmarkStart w:id="40" w:name="detailed-ghg-scope-breakdown"/>
    <w:p>
      <w:pPr>
        <w:pStyle w:val="Heading2"/>
      </w:pPr>
      <w:r>
        <w:t xml:space="preserve">4.2 Detailed GHG Scope Breakdown</w:t>
      </w:r>
    </w:p>
    <w:bookmarkStart w:id="37" w:name="scope-1-emissions-direct-emissions"/>
    <w:p>
      <w:pPr>
        <w:pStyle w:val="Heading3"/>
      </w:pPr>
      <w:r>
        <w:t xml:space="preserve">Scope 1 Emissions (Direct Emissions)</w:t>
      </w:r>
    </w:p>
    <w:p>
      <w:pPr>
        <w:pStyle w:val="FirstParagraph"/>
      </w:pPr>
      <w:r>
        <w:t xml:space="preserve">These are direct GHG emissions from sources owned or controlled by</w:t>
      </w:r>
      <w:r>
        <w:t xml:space="preserve"> </w:t>
      </w:r>
      <w:r>
        <w:rPr>
          <w:bCs/>
          <w:b/>
        </w:rPr>
        <w:t xml:space="preserve">hixhjrzuyq</w:t>
      </w:r>
      <w:r>
        <w:t xml:space="preserve">. For this product, direct process emissions from manufacturing are considered negligible or already embedded within material emission factors provided in the BOM. No direct fuel combustion by hixhjrzuyq in transport is assumed.</w:t>
      </w:r>
    </w:p>
    <w:p>
      <w:pPr>
        <w:numPr>
          <w:ilvl w:val="0"/>
          <w:numId w:val="1005"/>
        </w:numPr>
        <w:pStyle w:val="Compact"/>
      </w:pPr>
      <w:r>
        <w:t xml:space="preserve">Direct Manufacturing Process Emissions: 0.00 kg CO2e</w:t>
      </w:r>
    </w:p>
    <w:p>
      <w:pPr>
        <w:numPr>
          <w:ilvl w:val="0"/>
          <w:numId w:val="1005"/>
        </w:numPr>
        <w:pStyle w:val="Compact"/>
      </w:pPr>
      <w:r>
        <w:rPr>
          <w:bCs/>
          <w:b/>
        </w:rPr>
        <w:t xml:space="preserve">Total Scope 1 Emissions: 0.00 kg CO2e</w:t>
      </w:r>
    </w:p>
    <w:bookmarkEnd w:id="37"/>
    <w:bookmarkStart w:id="38" w:name="X1bd5ed5ba51603fe7fc5fd46de6dc3081dfffbb"/>
    <w:p>
      <w:pPr>
        <w:pStyle w:val="Heading3"/>
      </w:pPr>
      <w:r>
        <w:t xml:space="preserve">Scope 2 Emissions (Indirect Emissions from Purchased Energy)</w:t>
      </w:r>
    </w:p>
    <w:p>
      <w:pPr>
        <w:pStyle w:val="FirstParagraph"/>
      </w:pPr>
      <w:r>
        <w:t xml:space="preserve">These are indirect GHG emissions from the generation of purchased electricity consumed by</w:t>
      </w:r>
      <w:r>
        <w:t xml:space="preserve"> </w:t>
      </w:r>
      <w:r>
        <w:rPr>
          <w:bCs/>
          <w:b/>
        </w:rPr>
        <w:t xml:space="preserve">hixhjrzuyq</w:t>
      </w:r>
      <w:r>
        <w:t xml:space="preserve"> </w:t>
      </w:r>
      <w:r>
        <w:t xml:space="preserve">for manufacturing the product in China.</w:t>
      </w:r>
    </w:p>
    <w:p>
      <w:pPr>
        <w:numPr>
          <w:ilvl w:val="0"/>
          <w:numId w:val="1006"/>
        </w:numPr>
        <w:pStyle w:val="Compact"/>
      </w:pPr>
      <w:r>
        <w:t xml:space="preserve">Total Production Energy: 25 kWh/unit</w:t>
      </w:r>
    </w:p>
    <w:p>
      <w:pPr>
        <w:numPr>
          <w:ilvl w:val="0"/>
          <w:numId w:val="1006"/>
        </w:numPr>
        <w:pStyle w:val="Compact"/>
      </w:pPr>
      <w:r>
        <w:t xml:space="preserve">Non-Renewable Energy Purchased: 10 kWh/unit (40% of total)</w:t>
      </w:r>
    </w:p>
    <w:p>
      <w:pPr>
        <w:numPr>
          <w:ilvl w:val="0"/>
          <w:numId w:val="1006"/>
        </w:numPr>
        <w:pStyle w:val="Compact"/>
      </w:pPr>
      <w:r>
        <w:t xml:space="preserve">China Grid Emission Factor: 0.65 kg CO2e/kWh</w:t>
      </w:r>
    </w:p>
    <w:p>
      <w:pPr>
        <w:numPr>
          <w:ilvl w:val="0"/>
          <w:numId w:val="1006"/>
        </w:numPr>
        <w:pStyle w:val="Compact"/>
      </w:pPr>
      <w:r>
        <w:t xml:space="preserve">Calculation: 10 kWh * 0.65 kg CO2e/kWh = 6.50 kg CO2e</w:t>
      </w:r>
    </w:p>
    <w:p>
      <w:pPr>
        <w:numPr>
          <w:ilvl w:val="0"/>
          <w:numId w:val="1006"/>
        </w:numPr>
        <w:pStyle w:val="Compact"/>
      </w:pPr>
      <w:r>
        <w:rPr>
          <w:bCs/>
          <w:b/>
        </w:rPr>
        <w:t xml:space="preserve">Total Scope 2 Emissions: 6.50 kg CO2e</w:t>
      </w:r>
    </w:p>
    <w:bookmarkEnd w:id="38"/>
    <w:bookmarkStart w:id="39" w:name="Xc0e8d524e8c55442a875a6363c71b09ba079b79"/>
    <w:p>
      <w:pPr>
        <w:pStyle w:val="Heading3"/>
      </w:pPr>
      <w:r>
        <w:t xml:space="preserve">Scope 3 Emissions (Other Indirect Emissions)</w:t>
      </w:r>
    </w:p>
    <w:p>
      <w:pPr>
        <w:pStyle w:val="FirstParagraph"/>
      </w:pPr>
      <w:r>
        <w:t xml:space="preserve">These are all other indirect emissions that occur in the value chain of</w:t>
      </w:r>
      <w:r>
        <w:t xml:space="preserve"> </w:t>
      </w:r>
      <w:r>
        <w:rPr>
          <w:bCs/>
          <w:b/>
        </w:rPr>
        <w:t xml:space="preserve">hixhjrzuyq</w:t>
      </w:r>
      <w:r>
        <w:t xml:space="preserve">, both upstream and downstream. This analysis ensures at least 95% coverage for Scope 3 reporting as per 2026 requirements.</w:t>
      </w:r>
    </w:p>
    <w:p>
      <w:pPr>
        <w:numPr>
          <w:ilvl w:val="0"/>
          <w:numId w:val="1007"/>
        </w:numPr>
        <w:pStyle w:val="Compact"/>
      </w:pPr>
      <w:r>
        <w:rPr>
          <w:bCs/>
          <w:b/>
        </w:rPr>
        <w:t xml:space="preserve">Category: Purchased Goods and Services (Raw Materials &amp; Packaging)</w:t>
      </w:r>
    </w:p>
    <w:p>
      <w:pPr>
        <w:numPr>
          <w:ilvl w:val="1"/>
          <w:numId w:val="1008"/>
        </w:numPr>
        <w:pStyle w:val="Compact"/>
      </w:pPr>
      <w:r>
        <w:t xml:space="preserve">Plastic Casing: 0.5 kg * 3.5 kg CO2e/kg = 1.75 kg CO2e</w:t>
      </w:r>
    </w:p>
    <w:p>
      <w:pPr>
        <w:numPr>
          <w:ilvl w:val="1"/>
          <w:numId w:val="1008"/>
        </w:numPr>
        <w:pStyle w:val="Compact"/>
      </w:pPr>
      <w:r>
        <w:t xml:space="preserve">Circuit Board Assembly: 0.1 kg * 15.0 kg CO2e/kg = 1.50 kg CO2e</w:t>
      </w:r>
    </w:p>
    <w:p>
      <w:pPr>
        <w:numPr>
          <w:ilvl w:val="1"/>
          <w:numId w:val="1008"/>
        </w:numPr>
        <w:pStyle w:val="Compact"/>
      </w:pPr>
      <w:r>
        <w:t xml:space="preserve">Steel Fasteners: 0.05 kg * 2.0 kg CO2e/kg = 0.10 kg CO2e</w:t>
      </w:r>
    </w:p>
    <w:p>
      <w:pPr>
        <w:numPr>
          <w:ilvl w:val="1"/>
          <w:numId w:val="1008"/>
        </w:numPr>
        <w:pStyle w:val="Compact"/>
      </w:pPr>
      <w:r>
        <w:t xml:space="preserve">Packaging (Cardboard): 0.2 kg * 1.0 kg CO2e/kg = 0.20 kg CO2e</w:t>
      </w:r>
    </w:p>
    <w:p>
      <w:pPr>
        <w:numPr>
          <w:ilvl w:val="1"/>
          <w:numId w:val="1008"/>
        </w:numPr>
        <w:pStyle w:val="Compact"/>
      </w:pPr>
      <w:r>
        <w:t xml:space="preserve">Subtotal: 3.55 kg CO2e</w:t>
      </w:r>
    </w:p>
    <w:p>
      <w:pPr>
        <w:numPr>
          <w:ilvl w:val="0"/>
          <w:numId w:val="1007"/>
        </w:numPr>
        <w:pStyle w:val="Compact"/>
      </w:pPr>
      <w:r>
        <w:rPr>
          <w:bCs/>
          <w:b/>
        </w:rPr>
        <w:t xml:space="preserve">Category: Upstream Transportation and Distribution</w:t>
      </w:r>
    </w:p>
    <w:p>
      <w:pPr>
        <w:numPr>
          <w:ilvl w:val="1"/>
          <w:numId w:val="1009"/>
        </w:numPr>
        <w:pStyle w:val="Compact"/>
      </w:pPr>
      <w:r>
        <w:t xml:space="preserve">Ocean Freight (materials/components inbound to China, and product China to Europe): 0.00085 tonnes * 12,000 km * 0.01 kg CO2e/tonne-km = 0.102 kg CO2e</w:t>
      </w:r>
    </w:p>
    <w:p>
      <w:pPr>
        <w:numPr>
          <w:ilvl w:val="1"/>
          <w:numId w:val="1009"/>
        </w:numPr>
        <w:pStyle w:val="Compact"/>
      </w:pPr>
      <w:r>
        <w:t xml:space="preserve">Subtotal: 0.102 kg CO2e</w:t>
      </w:r>
    </w:p>
    <w:p>
      <w:pPr>
        <w:numPr>
          <w:ilvl w:val="0"/>
          <w:numId w:val="1007"/>
        </w:numPr>
        <w:pStyle w:val="Compact"/>
      </w:pPr>
      <w:r>
        <w:rPr>
          <w:bCs/>
          <w:b/>
        </w:rPr>
        <w:t xml:space="preserve">Category: Downstream Transportation and Distribution</w:t>
      </w:r>
    </w:p>
    <w:p>
      <w:pPr>
        <w:numPr>
          <w:ilvl w:val="1"/>
          <w:numId w:val="1010"/>
        </w:numPr>
        <w:pStyle w:val="Compact"/>
      </w:pPr>
      <w:r>
        <w:t xml:space="preserve">Road Freight (intra-Europe): 0.00085 tonnes * 800 km * 0.10 kg CO2e/tonne-km = 0.068 kg CO2e</w:t>
      </w:r>
    </w:p>
    <w:p>
      <w:pPr>
        <w:numPr>
          <w:ilvl w:val="1"/>
          <w:numId w:val="1010"/>
        </w:numPr>
        <w:pStyle w:val="Compact"/>
      </w:pPr>
      <w:r>
        <w:t xml:space="preserve">Last-Mile Delivery: 0.00085 tonnes * 50 km * 0.20 kg CO2e/tonne-km = 0.009 kg CO2e</w:t>
      </w:r>
    </w:p>
    <w:p>
      <w:pPr>
        <w:numPr>
          <w:ilvl w:val="1"/>
          <w:numId w:val="1010"/>
        </w:numPr>
        <w:pStyle w:val="Compact"/>
      </w:pPr>
      <w:r>
        <w:t xml:space="preserve">Subtotal: 0.077 kg CO2e</w:t>
      </w:r>
    </w:p>
    <w:p>
      <w:pPr>
        <w:numPr>
          <w:ilvl w:val="0"/>
          <w:numId w:val="1007"/>
        </w:numPr>
        <w:pStyle w:val="Compact"/>
      </w:pPr>
      <w:r>
        <w:rPr>
          <w:bCs/>
          <w:b/>
        </w:rPr>
        <w:t xml:space="preserve">Category: Use of Sold Products (Use Phase)</w:t>
      </w:r>
    </w:p>
    <w:p>
      <w:pPr>
        <w:numPr>
          <w:ilvl w:val="1"/>
          <w:numId w:val="1011"/>
        </w:numPr>
        <w:pStyle w:val="Compact"/>
      </w:pPr>
      <w:r>
        <w:t xml:space="preserve">Total Energy Consumption: 30 kWh</w:t>
      </w:r>
    </w:p>
    <w:p>
      <w:pPr>
        <w:numPr>
          <w:ilvl w:val="1"/>
          <w:numId w:val="1011"/>
        </w:numPr>
        <w:pStyle w:val="Compact"/>
      </w:pPr>
      <w:r>
        <w:t xml:space="preserve">Europe Grid Emission Factor: 0.20 kg CO2e/kWh</w:t>
      </w:r>
    </w:p>
    <w:p>
      <w:pPr>
        <w:numPr>
          <w:ilvl w:val="1"/>
          <w:numId w:val="1011"/>
        </w:numPr>
        <w:pStyle w:val="Compact"/>
      </w:pPr>
      <w:r>
        <w:t xml:space="preserve">Calculation: 30 kWh * 0.20 kg CO2e/kWh = 6.00 kg CO2e</w:t>
      </w:r>
    </w:p>
    <w:p>
      <w:pPr>
        <w:numPr>
          <w:ilvl w:val="1"/>
          <w:numId w:val="1011"/>
        </w:numPr>
        <w:pStyle w:val="Compact"/>
      </w:pPr>
      <w:r>
        <w:t xml:space="preserve">Subtotal: 6.00 kg CO2e</w:t>
      </w:r>
    </w:p>
    <w:p>
      <w:pPr>
        <w:numPr>
          <w:ilvl w:val="0"/>
          <w:numId w:val="1007"/>
        </w:numPr>
        <w:pStyle w:val="Compact"/>
      </w:pPr>
      <w:r>
        <w:rPr>
          <w:bCs/>
          <w:b/>
        </w:rPr>
        <w:t xml:space="preserve">Category: End-of-Life Treatment of Sold Products</w:t>
      </w:r>
    </w:p>
    <w:p>
      <w:pPr>
        <w:numPr>
          <w:ilvl w:val="1"/>
          <w:numId w:val="1012"/>
        </w:numPr>
        <w:pStyle w:val="Compact"/>
      </w:pPr>
      <w:r>
        <w:t xml:space="preserve">Disposed Portion: 0.2125 kg (25% of 0.85 kg)</w:t>
      </w:r>
    </w:p>
    <w:p>
      <w:pPr>
        <w:numPr>
          <w:ilvl w:val="1"/>
          <w:numId w:val="1012"/>
        </w:numPr>
        <w:pStyle w:val="Compact"/>
      </w:pPr>
      <w:r>
        <w:t xml:space="preserve">Landfill Emission Factor: 0.1 kg CO2e/kg</w:t>
      </w:r>
    </w:p>
    <w:p>
      <w:pPr>
        <w:numPr>
          <w:ilvl w:val="1"/>
          <w:numId w:val="1012"/>
        </w:numPr>
        <w:pStyle w:val="Compact"/>
      </w:pPr>
      <w:r>
        <w:t xml:space="preserve">Calculation: 0.2125 kg * 0.1 kg CO2e/kg = 0.021 kg CO2e</w:t>
      </w:r>
    </w:p>
    <w:p>
      <w:pPr>
        <w:numPr>
          <w:ilvl w:val="1"/>
          <w:numId w:val="1012"/>
        </w:numPr>
        <w:pStyle w:val="Compact"/>
      </w:pPr>
      <w:r>
        <w:t xml:space="preserve">Subtotal: 0.021 kg CO2e</w:t>
      </w:r>
    </w:p>
    <w:p>
      <w:pPr>
        <w:numPr>
          <w:ilvl w:val="0"/>
          <w:numId w:val="1007"/>
        </w:numPr>
        <w:pStyle w:val="Compact"/>
      </w:pPr>
      <w:r>
        <w:rPr>
          <w:bCs/>
          <w:b/>
        </w:rPr>
        <w:t xml:space="preserve">Total Scope 3 Emissions: 3.55 + 0.102 + 0.077 + 6.00 + 0.021 = 9.75 kg CO2e</w:t>
      </w:r>
    </w:p>
    <w:bookmarkEnd w:id="39"/>
    <w:bookmarkEnd w:id="40"/>
    <w:bookmarkStart w:id="41" w:name="lsr-update-application"/>
    <w:p>
      <w:pPr>
        <w:pStyle w:val="Heading2"/>
      </w:pPr>
      <w:r>
        <w:t xml:space="preserve">4.3 2026 LSR Update Application</w:t>
      </w:r>
    </w:p>
    <w:p>
      <w:pPr>
        <w:pStyle w:val="FirstParagraph"/>
      </w:pPr>
      <w:r>
        <w:t xml:space="preserve">The GHG Protocol\'s Land Sector and Removals (LSR) Standard, effective January 1, 2027, has been considered in this analysis. While direct land-use change emissions or carbon removals specific to nqnhyphrkp\'s raw materials were not provided, any agricultural or land-based commodity in its value chain would be assessed for these impacts as per the LSR Standard. This ensures a forward-looking compliance approach to reporting on land management and CO2 removals, particularly relevant for companies with significant land sector activities in their operations or value chain.</w:t>
      </w:r>
    </w:p>
    <w:p>
      <w:r>
        <w:pict>
          <v:rect style="width:0;height:1.5pt" o:hralign="center" o:hrstd="t" o:hr="t"/>
        </w:pict>
      </w:r>
    </w:p>
    <w:bookmarkEnd w:id="41"/>
    <w:bookmarkEnd w:id="42"/>
    <w:bookmarkStart w:id="46" w:name="review-report---hotspots-and-reliability"/>
    <w:p>
      <w:pPr>
        <w:pStyle w:val="Heading1"/>
      </w:pPr>
      <w:r>
        <w:t xml:space="preserve">5. Review &amp; Report - Hotspots and Reliability</w:t>
      </w:r>
    </w:p>
    <w:p>
      <w:pPr>
        <w:pStyle w:val="FirstParagraph"/>
      </w:pPr>
      <w:r>
        <w:t xml:space="preserve">The total Product Carbon Footprint for one unit of nqnhyphrkp is</w:t>
      </w:r>
      <w:r>
        <w:t xml:space="preserve"> </w:t>
      </w:r>
      <w:r>
        <w:rPr>
          <w:bCs/>
          <w:b/>
        </w:rPr>
        <w:t xml:space="preserve">16.25 kg CO2e</w:t>
      </w:r>
      <w:r>
        <w:t xml:space="preserve">.</w:t>
      </w:r>
    </w:p>
    <w:bookmarkStart w:id="43" w:name="emission-hotspots"/>
    <w:p>
      <w:pPr>
        <w:pStyle w:val="Heading2"/>
      </w:pPr>
      <w:r>
        <w:t xml:space="preserve">5.1 Emission Hotspots</w:t>
      </w:r>
    </w:p>
    <w:p>
      <w:pPr>
        <w:pStyle w:val="FirstParagraph"/>
      </w:pPr>
      <w:r>
        <w:t xml:space="preserve">The analysis reveals the following key emission hotspots:</w:t>
      </w:r>
    </w:p>
    <w:p>
      <w:pPr>
        <w:numPr>
          <w:ilvl w:val="0"/>
          <w:numId w:val="1013"/>
        </w:numPr>
        <w:pStyle w:val="Compact"/>
      </w:pPr>
      <w:r>
        <w:rPr>
          <w:bCs/>
          <w:b/>
        </w:rPr>
        <w:t xml:space="preserve">Manufacturing (Scope 2 Electricity):</w:t>
      </w:r>
      <w:r>
        <w:t xml:space="preserve"> </w:t>
      </w:r>
      <w:r>
        <w:t xml:space="preserve">Contributing 6.50 kg CO2e, representing approximately 40% of the total PCF. This is primarily due to the energy intensity of the production process and the carbon intensity of the residual electricity mix in China, despite 60% renewable energy usage.</w:t>
      </w:r>
    </w:p>
    <w:p>
      <w:pPr>
        <w:numPr>
          <w:ilvl w:val="0"/>
          <w:numId w:val="1013"/>
        </w:numPr>
        <w:pStyle w:val="Compact"/>
      </w:pPr>
      <w:r>
        <w:rPr>
          <w:bCs/>
          <w:b/>
        </w:rPr>
        <w:t xml:space="preserve">Use Phase:</w:t>
      </w:r>
      <w:r>
        <w:t xml:space="preserve"> </w:t>
      </w:r>
      <w:r>
        <w:t xml:space="preserve">Contributing 6.00 kg CO2e, approximately 37% of the total PCF. The product\'s energy consumption over its 3-year lifespan, powered by the European grid mix, is a significant contributor.</w:t>
      </w:r>
    </w:p>
    <w:p>
      <w:pPr>
        <w:numPr>
          <w:ilvl w:val="0"/>
          <w:numId w:val="1013"/>
        </w:numPr>
        <w:pStyle w:val="Compact"/>
      </w:pPr>
      <w:r>
        <w:rPr>
          <w:bCs/>
          <w:b/>
        </w:rPr>
        <w:t xml:space="preserve">Raw Material Acquisition &amp; Processing (Scope 3):</w:t>
      </w:r>
      <w:r>
        <w:t xml:space="preserve"> </w:t>
      </w:r>
      <w:r>
        <w:t xml:space="preserve">Contributing 3.55 kg CO2e, approximately 22% of the total PCF. The \'Circuit Board Assembly\' and \'Plastic Casing\' are notable contributors within this stage, reflecting the embodied emissions of these components.</w:t>
      </w:r>
    </w:p>
    <w:p>
      <w:pPr>
        <w:numPr>
          <w:ilvl w:val="0"/>
          <w:numId w:val="1013"/>
        </w:numPr>
        <w:pStyle w:val="Compact"/>
      </w:pPr>
      <w:r>
        <w:rPr>
          <w:bCs/>
          <w:b/>
        </w:rPr>
        <w:t xml:space="preserve">Transport and End-of-Life:</w:t>
      </w:r>
      <w:r>
        <w:t xml:space="preserve"> </w:t>
      </w:r>
      <w:r>
        <w:t xml:space="preserve">These stages contribute relatively smaller portions to the overall PCF, at 0.18 kg CO2e and 0.02 kg CO2e respectively.</w:t>
      </w:r>
    </w:p>
    <w:bookmarkEnd w:id="43"/>
    <w:bookmarkStart w:id="44" w:name="reliability-and-limitations"/>
    <w:p>
      <w:pPr>
        <w:pStyle w:val="Heading2"/>
      </w:pPr>
      <w:r>
        <w:t xml:space="preserve">5.2 Reliability and Limitations</w:t>
      </w:r>
    </w:p>
    <w:p>
      <w:pPr>
        <w:pStyle w:val="FirstParagraph"/>
      </w:pPr>
      <w:r>
        <w:t xml:space="preserve">The reliability of this PCF analysis is high due to the use of specific, provided parameters for BOM, energy usage, transport, and EoL scenarios. Industry-standard emission factors from reputable databases (such as Ecoinvent and DEFRA) have been applied for generic processes and electricity grids, ensuring a robust calculation.</w:t>
      </w:r>
    </w:p>
    <w:p>
      <w:pPr>
        <w:pStyle w:val="BodyText"/>
      </w:pPr>
      <w:r>
        <w:t xml:space="preserve">Limitations include reliance on average emission factors for certain processes and electricity grids, which may not perfectly reflect the exact supply chain specifics of</w:t>
      </w:r>
      <w:r>
        <w:t xml:space="preserve"> </w:t>
      </w:r>
      <w:r>
        <w:rPr>
          <w:bCs/>
          <w:b/>
        </w:rPr>
        <w:t xml:space="preserve">hixhjrzuyq</w:t>
      </w:r>
      <w:r>
        <w:t xml:space="preserve">. The assumed emission factors for "Circuit Board Assembly" and "Packaging (Cardboard)" are based on general industry data and could be refined with more specific supplier data. Furthermore, while the 2026 LSR Standard has been acknowledged, detailed land-use change data was not provided for raw materials, meaning specific land-based removals or emissions could not be quantified directly in this report but would be a focus for future, more granular analyses.</w:t>
      </w:r>
    </w:p>
    <w:bookmarkEnd w:id="44"/>
    <w:bookmarkStart w:id="45" w:name="recommendations"/>
    <w:p>
      <w:pPr>
        <w:pStyle w:val="Heading2"/>
      </w:pPr>
      <w:r>
        <w:t xml:space="preserve">5.3 Recommendations</w:t>
      </w:r>
    </w:p>
    <w:p>
      <w:pPr>
        <w:pStyle w:val="FirstParagraph"/>
      </w:pPr>
      <w:r>
        <w:t xml:space="preserve">Based on the identified hotspots,</w:t>
      </w:r>
      <w:r>
        <w:t xml:space="preserve"> </w:t>
      </w:r>
      <w:r>
        <w:rPr>
          <w:bCs/>
          <w:b/>
        </w:rPr>
        <w:t xml:space="preserve">hixhjrzuyq</w:t>
      </w:r>
      <w:r>
        <w:t xml:space="preserve"> </w:t>
      </w:r>
      <w:r>
        <w:t xml:space="preserve">should focus on:</w:t>
      </w:r>
    </w:p>
    <w:p>
      <w:pPr>
        <w:numPr>
          <w:ilvl w:val="0"/>
          <w:numId w:val="1014"/>
        </w:numPr>
        <w:pStyle w:val="Compact"/>
      </w:pPr>
      <w:r>
        <w:rPr>
          <w:bCs/>
          <w:b/>
        </w:rPr>
        <w:t xml:space="preserve">Decarbonizing Manufacturing Operations:</w:t>
      </w:r>
      <w:r>
        <w:t xml:space="preserve"> </w:t>
      </w:r>
      <w:r>
        <w:t xml:space="preserve">Further increasing the renewable energy share in its China-based manufacturing facilities beyond</w:t>
      </w:r>
      <w:r>
        <w:t xml:space="preserve"> </w:t>
      </w:r>
      <w:r>
        <w:rPr>
          <w:bCs/>
          <w:b/>
        </w:rPr>
        <w:t xml:space="preserve">swmwxojxyq</w:t>
      </w:r>
      <w:r>
        <w:t xml:space="preserve"> </w:t>
      </w:r>
      <w:r>
        <w:t xml:space="preserve">(60%) or exploring options to procure higher-quality renewable energy credits with strong additionality.</w:t>
      </w:r>
    </w:p>
    <w:p>
      <w:pPr>
        <w:numPr>
          <w:ilvl w:val="0"/>
          <w:numId w:val="1014"/>
        </w:numPr>
        <w:pStyle w:val="Compact"/>
      </w:pPr>
      <w:r>
        <w:rPr>
          <w:bCs/>
          <w:b/>
        </w:rPr>
        <w:t xml:space="preserve">Optimizing Product Use Phase:</w:t>
      </w:r>
      <w:r>
        <w:t xml:space="preserve"> </w:t>
      </w:r>
      <w:r>
        <w:t xml:space="preserve">Investigating opportunities to enhance the energy efficiency of</w:t>
      </w:r>
      <w:r>
        <w:t xml:space="preserve"> </w:t>
      </w:r>
      <w:r>
        <w:rPr>
          <w:bCs/>
          <w:b/>
        </w:rPr>
        <w:t xml:space="preserve">nqnhyphrkp</w:t>
      </w:r>
      <w:r>
        <w:t xml:space="preserve"> </w:t>
      </w:r>
      <w:r>
        <w:t xml:space="preserve">during its operational lifespan (</w:t>
      </w:r>
      <w:r>
        <w:rPr>
          <w:bCs/>
          <w:b/>
        </w:rPr>
        <w:t xml:space="preserve">spnxlplznl</w:t>
      </w:r>
      <w:r>
        <w:t xml:space="preserve"> </w:t>
      </w:r>
      <w:r>
        <w:t xml:space="preserve">years, consuming</w:t>
      </w:r>
      <w:r>
        <w:t xml:space="preserve"> </w:t>
      </w:r>
      <w:r>
        <w:rPr>
          <w:bCs/>
          <w:b/>
        </w:rPr>
        <w:t xml:space="preserve">yhxotryems</w:t>
      </w:r>
      <w:r>
        <w:t xml:space="preserve"> </w:t>
      </w:r>
      <w:r>
        <w:t xml:space="preserve">kWh/year), potentially through design changes or user guidance.</w:t>
      </w:r>
    </w:p>
    <w:p>
      <w:pPr>
        <w:numPr>
          <w:ilvl w:val="0"/>
          <w:numId w:val="1014"/>
        </w:numPr>
        <w:pStyle w:val="Compact"/>
      </w:pPr>
      <w:r>
        <w:rPr>
          <w:bCs/>
          <w:b/>
        </w:rPr>
        <w:t xml:space="preserve">Supply Chain Engagement:</w:t>
      </w:r>
      <w:r>
        <w:t xml:space="preserve"> </w:t>
      </w:r>
      <w:r>
        <w:t xml:space="preserve">Collaborating with suppliers of high-impact components, particularly for \'Circuit Board Assembly\' and \'Plastic Casing,\' to identify and implement low-carbon alternatives or production methods.</w:t>
      </w:r>
    </w:p>
    <w:p>
      <w:pPr>
        <w:numPr>
          <w:ilvl w:val="0"/>
          <w:numId w:val="1014"/>
        </w:numPr>
        <w:pStyle w:val="Compact"/>
      </w:pPr>
      <w:r>
        <w:rPr>
          <w:bCs/>
          <w:b/>
        </w:rPr>
        <w:t xml:space="preserve">Strengthening Circular Economy Initiatives:</w:t>
      </w:r>
      <w:r>
        <w:t xml:space="preserve"> </w:t>
      </w:r>
      <w:r>
        <w:t xml:space="preserve">Leveraging the existing</w:t>
      </w:r>
      <w:r>
        <w:t xml:space="preserve"> </w:t>
      </w:r>
      <w:r>
        <w:rPr>
          <w:bCs/>
          <w:b/>
        </w:rPr>
        <w:t xml:space="preserve">klzpmgumul</w:t>
      </w:r>
      <w:r>
        <w:t xml:space="preserve"> </w:t>
      </w:r>
      <w:r>
        <w:t xml:space="preserve">(Company-operated take-back program) to maximize material recovery and explore opportunities to increase the recyclability percentage (currently</w:t>
      </w:r>
      <w:r>
        <w:t xml:space="preserve"> </w:t>
      </w:r>
      <w:r>
        <w:rPr>
          <w:bCs/>
          <w:b/>
        </w:rPr>
        <w:t xml:space="preserve">stuqevflld</w:t>
      </w:r>
      <w:r>
        <w:t xml:space="preserve"> </w:t>
      </w:r>
      <w:r>
        <w:t xml:space="preserve">(75%)) and implement closed-loop systems for key materials.</w:t>
      </w:r>
    </w:p>
    <w:p>
      <w:r>
        <w:pict>
          <v:rect style="width:0;height:1.5pt" o:hralign="center" o:hrstd="t" o:hr="t"/>
        </w:pict>
      </w:r>
    </w:p>
    <w:p>
      <w:pPr>
        <w:pStyle w:val="FirstParagraph"/>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nqnhyphrkp</dc:title>
  <dc:creator/>
  <dc:description>Detailed Product Carbon Footprint (PCF) analysis report for nqnhyphrkp, conducted by Senior Sustainability Consultant jqsfxdqjxq for hixhjrzuyq, adhering to GHG Protocol standards and 2026 requirements.</dc:description>
  <dc:language>en</dc:language>
  <cp:keywords/>
  <dcterms:created xsi:type="dcterms:W3CDTF">2026-07-15T14:31:11Z</dcterms:created>
  <dcterms:modified xsi:type="dcterms:W3CDTF">2026-07-15T14:31:11Z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