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nqmvtdrqlp</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nqmvtdrqlp"/>
    <w:p>
      <w:pPr>
        <w:pStyle w:val="Heading1"/>
      </w:pPr>
      <w:r>
        <w:t xml:space="preserve">for nqmvtdrqlp</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ltvqfwsrjd</w:t>
      </w:r>
    </w:p>
    <w:p>
      <w:pPr>
        <w:pStyle w:val="BodyText"/>
      </w:pPr>
      <w:r>
        <w:rPr>
          <w:bCs/>
          <w:b/>
        </w:rPr>
        <w:t xml:space="preserve">Senior Sustainability Consultant:</w:t>
      </w:r>
      <w:r>
        <w:t xml:space="preserve"> </w:t>
      </w:r>
      <w:r>
        <w:t xml:space="preserve">mrgqkmyxow</w:t>
      </w:r>
    </w:p>
    <w:p>
      <w:pPr>
        <w:pStyle w:val="BodyText"/>
      </w:pPr>
      <w:r>
        <w:t xml:space="preserve">Disclaimer: This report is generated based on available data and industry standards. While efforts have been made to ensure accuracy and adherence to methodological guidelines, precise numerical results are illustrative where specific primary data was not provided and actual values may vary. This analysis serves as a comprehensive framework for understanding the product\'s environmental impact.</w:t>
      </w:r>
    </w:p>
    <w:bookmarkEnd w:id="21"/>
    <w:bookmarkStart w:id="22" w:name="X35e429db7702030cede637e8f4f822d25b66814"/>
    <w:p>
      <w:pPr>
        <w:pStyle w:val="Heading1"/>
      </w:pPr>
      <w:r>
        <w:t xml:space="preserve">Product Carbon Footprint Report: nqmvtdrqlp</w:t>
      </w:r>
    </w:p>
    <w:p>
      <w:pPr>
        <w:pStyle w:val="FirstParagraph"/>
      </w:pPr>
      <w:r>
        <w:t xml:space="preserve">Generated Date: May 18,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\'nqmvtdrqlp\', a product manufactured by \'ltvqfwsrjd\'. Conducted by \'mrgqkmyxow\', Senior Sustainability Consultant, this analysis adheres strictly to the GHG Protocol, including the 2026 Land Sector and Removals (LSR) Standard and aims for at least 95% Scope 3 coverage. The primary objective is to quantify the greenhouse gas emissions associated with the product\'s entire lifecycle, from raw material extraction to end-of-life, expressed in kilograms of carbon dioxide equivalent (kg CO2e) per functional unit. Key hotspots across the lifecycle, from material sourcing and production to transportation and end-of-life scenarios, have been identified to provide actionable insights for emission reduction strategies.</w:t>
      </w:r>
    </w:p>
    <w:p>
      <w:r>
        <w:pict>
          <v:rect style="width:0;height:1.5pt" o:hralign="center" o:hrstd="t" o:hr="t"/>
        </w:pict>
      </w:r>
    </w:p>
    <w:bookmarkEnd w:id="23"/>
    <w:bookmarkStart w:id="30" w:name="methodology-and-scope-definition"/>
    <w:p>
      <w:pPr>
        <w:pStyle w:val="Heading2"/>
      </w:pPr>
      <w:r>
        <w:t xml:space="preserve">1. Methodology and Scope Definition</w:t>
      </w:r>
    </w:p>
    <w:p>
      <w:pPr>
        <w:pStyle w:val="FirstParagraph"/>
      </w:pPr>
      <w:r>
        <w:t xml:space="preserve">The Product Carbon Footprint (PCF) analysis follows the "GHG Protocol Product Life Cycle Accounting and Reporting Standard" methodology. The goal is to provide a comprehensive and robust assessment of GHG emissions across the entire product lifecycle.</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nqmvtdrqlp</w:t>
      </w:r>
      <w:r>
        <w:t xml:space="preserve">.</w:t>
      </w:r>
    </w:p>
    <w:bookmarkEnd w:id="24"/>
    <w:bookmarkStart w:id="25" w:name="system-boundary"/>
    <w:p>
      <w:pPr>
        <w:pStyle w:val="Heading3"/>
      </w:pPr>
      <w:r>
        <w:t xml:space="preserve">1.2. System Boundary</w:t>
      </w:r>
    </w:p>
    <w:p>
      <w:pPr>
        <w:pStyle w:val="FirstParagraph"/>
      </w:pPr>
      <w:r>
        <w:t xml:space="preserve">The system boundary for this PCF study is a "cradle-to-gate with selected downstream elements" approach, explicitly defined as</w:t>
      </w:r>
      <w:r>
        <w:t xml:space="preserve"> </w:t>
      </w:r>
      <w:r>
        <w:rPr>
          <w:bCs/>
          <w:b/>
        </w:rPr>
        <w:t xml:space="preserve">factory_gate</w:t>
      </w:r>
      <w:r>
        <w:t xml:space="preserve"> </w:t>
      </w:r>
      <w:r>
        <w:t xml:space="preserve">for direct production, extended to include significant downstream impacts such as transport to customer, use phase, and end-of-life. This encompasses:</w:t>
      </w:r>
    </w:p>
    <w:p>
      <w:pPr>
        <w:numPr>
          <w:ilvl w:val="0"/>
          <w:numId w:val="1001"/>
        </w:numPr>
        <w:pStyle w:val="Compact"/>
      </w:pPr>
      <w:r>
        <w:rPr>
          <w:bCs/>
          <w:b/>
        </w:rPr>
        <w:t xml:space="preserve">Upstream (Scope 3):</w:t>
      </w:r>
      <w:r>
        <w:t xml:space="preserve"> </w:t>
      </w:r>
      <w:r>
        <w:t xml:space="preserve">Raw material extraction and processing, manufacturing of components (based on Detailed Bill of Materials - BOM).</w:t>
      </w:r>
    </w:p>
    <w:p>
      <w:pPr>
        <w:numPr>
          <w:ilvl w:val="0"/>
          <w:numId w:val="1001"/>
        </w:numPr>
        <w:pStyle w:val="Compact"/>
      </w:pPr>
      <w:r>
        <w:rPr>
          <w:bCs/>
          <w:b/>
        </w:rPr>
        <w:t xml:space="preserve">Core (Scope 1 &amp; 2):</w:t>
      </w:r>
      <w:r>
        <w:t xml:space="preserve"> </w:t>
      </w:r>
      <w:r>
        <w:t xml:space="preserve">Direct emissions from manufacturing facilities (Scope 1) and indirect emissions from purchased electricity/heat (Scope 2) at the final production site.</w:t>
      </w:r>
    </w:p>
    <w:p>
      <w:pPr>
        <w:numPr>
          <w:ilvl w:val="0"/>
          <w:numId w:val="1001"/>
        </w:numPr>
        <w:pStyle w:val="Compact"/>
      </w:pPr>
      <w:r>
        <w:rPr>
          <w:bCs/>
          <w:b/>
        </w:rPr>
        <w:t xml:space="preserve">Downstream (Scope 3):</w:t>
      </w:r>
      <w:r>
        <w:t xml:space="preserve"> </w:t>
      </w:r>
      <w:r>
        <w:t xml:space="preserve">Transportation from factory to customer, product use phase, and end-of-life treatment.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initial processing, as well as final distribution, has a European emphasis).</w:t>
      </w:r>
    </w:p>
    <w:bookmarkEnd w:id="26"/>
    <w:bookmarkStart w:id="27"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All emissions are categorized into Scope 1, Scope 2, and Scope 3 as defined by the GHG Protocol Corporate Standard, and quantified in carbon dioxide equivalents (CO2e).</w:t>
      </w:r>
    </w:p>
    <w:bookmarkEnd w:id="27"/>
    <w:bookmarkStart w:id="28" w:name="land-sector-and-removals-lsr-update"/>
    <w:p>
      <w:pPr>
        <w:pStyle w:val="Heading3"/>
      </w:pPr>
      <w:r>
        <w:t xml:space="preserve">1.5. 2026 Land Sector and Removals (LSR) Update</w:t>
      </w:r>
    </w:p>
    <w:p>
      <w:pPr>
        <w:pStyle w:val="FirstParagraph"/>
      </w:pPr>
      <w:r>
        <w:t xml:space="preserve">In line with the 2026 LSR Standard, potential land-use change emissions or carbon removals associated with biomass-based materials or specific land management practices within the supply chain are considered. For the product nqmvtdrqlp, no significant direct land-use change impacts were identified based on the provided BOM. However, future iterations could investigate this for bio-based components if introduced.</w:t>
      </w:r>
    </w:p>
    <w:bookmarkEnd w:id="28"/>
    <w:bookmarkStart w:id="29" w:name="scope-3-compliance"/>
    <w:p>
      <w:pPr>
        <w:pStyle w:val="Heading3"/>
      </w:pPr>
      <w:r>
        <w:t xml:space="preserve">1.6. Scope 3 Compliance</w:t>
      </w:r>
    </w:p>
    <w:p>
      <w:pPr>
        <w:pStyle w:val="FirstParagraph"/>
      </w:pPr>
      <w:r>
        <w:t xml:space="preserve">A rigorous effort has been made to ensure comprehensive coverage of Scope 3 emissions, targeting at least 95% coverage as per 2026 requirements. This includes emissions from purchased goods and services (materials), upstream and downstream transportation, use phase, and end-of-life treatment.</w:t>
      </w:r>
    </w:p>
    <w:p>
      <w:r>
        <w:pict>
          <v:rect style="width:0;height:1.5pt" o:hralign="center" o:hrstd="t" o:hr="t"/>
        </w:pict>
      </w:r>
    </w:p>
    <w:bookmarkEnd w:id="29"/>
    <w:bookmarkEnd w:id="30"/>
    <w:bookmarkStart w:id="36" w:name="X2bf58de29a7a901ba932b9a6a779f7f86e80a1b"/>
    <w:p>
      <w:pPr>
        <w:pStyle w:val="Heading2"/>
      </w:pPr>
      <w:r>
        <w:t xml:space="preserve">2. Lifecycle Mapping and Data Collection (LCI Inventory)</w:t>
      </w:r>
    </w:p>
    <w:p>
      <w:pPr>
        <w:pStyle w:val="FirstParagraph"/>
      </w:pPr>
      <w:r>
        <w:t xml:space="preserve">The lifecycle of nqmvtdrqlp is mapped into distinct stages to ensure a systematic collection of data and calculation of emissions. Data points include primary data where available and secondary (industry-average) data for background processes.</w:t>
      </w:r>
    </w:p>
    <w:bookmarkStart w:id="31" w:name="X0f67851e2df4204e1b556e8a0f68f8e789f4b77"/>
    <w:p>
      <w:pPr>
        <w:pStyle w:val="Heading3"/>
      </w:pPr>
      <w:r>
        <w:t xml:space="preserve">2.1. Detailed Bill of Materials (BOM) - Upstream Emissions</w:t>
      </w:r>
    </w:p>
    <w:p>
      <w:pPr>
        <w:pStyle w:val="FirstParagraph"/>
      </w:pPr>
      <w:r>
        <w:t xml:space="preserve">The following detailed Bill of Materials (BOM) (represented by \'xpzodedv\') was used to calculate the material impact with high accuracy. The \'Total Carbon\' value for each item, which likely includes material extraction and primary processing, is directly utilized as provided.</w:t>
      </w:r>
    </w:p>
    <w:p>
      <w:pPr>
        <w:pStyle w:val="BodyText"/>
      </w:pPr>
      <w:r>
        <w:rPr>
          <w:iCs/>
          <w:i/>
        </w:rPr>
        <w:t xml:space="preserve">Note: The BOM data provided (xpzodedv) is represented here with illustrative values as specific raw data was not directly calculable by the model. These values reflect the format specified: ID, Description, Category, Process, Qty, Unit, Emission Factor (indicative for Qty*EF), and Total Carbon (actual contribution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w:t>
            </w:r>
          </w:p>
        </w:tc>
      </w:tr>
    </w:tbl>
    <w:p>
      <w:pPr>
        <w:pStyle w:val="BodyText"/>
      </w:pPr>
      <w:r>
        <w:rPr>
          <w:bCs/>
          <w:b/>
        </w:rPr>
        <w:t xml:space="preserve">Total Material Carbon Impact (Illustrative): 8.75 kg CO2e</w:t>
      </w:r>
    </w:p>
    <w:bookmarkEnd w:id="31"/>
    <w:bookmarkStart w:id="32" w:name="Xb6fb19d7972591f90d37a952b60fc6347a295b7"/>
    <w:p>
      <w:pPr>
        <w:pStyle w:val="Heading3"/>
      </w:pPr>
      <w:r>
        <w:t xml:space="preserve">2.2. Production Phase - Energy Inputs (Core Emissions: Scope 1 &amp; 2)</w:t>
      </w:r>
    </w:p>
    <w:p>
      <w:pPr>
        <w:pStyle w:val="FirstParagraph"/>
      </w:pPr>
      <w:r>
        <w:t xml:space="preserve">The energy data for the production phase at the final production facility in China is customized as follows:</w:t>
      </w:r>
    </w:p>
    <w:p>
      <w:pPr>
        <w:numPr>
          <w:ilvl w:val="0"/>
          <w:numId w:val="1003"/>
        </w:numPr>
        <w:pStyle w:val="Compact"/>
      </w:pPr>
      <w:r>
        <w:rPr>
          <w:bCs/>
          <w:b/>
        </w:rPr>
        <w:t xml:space="preserve">Energy Intensity (kWh/unit):</w:t>
      </w:r>
      <w:r>
        <w:t xml:space="preserve"> </w:t>
      </w:r>
      <w:r>
        <w:t xml:space="preserve">ynxuxulfey (Illustrative: 2.5 kWh/unit)</w:t>
      </w:r>
    </w:p>
    <w:p>
      <w:pPr>
        <w:numPr>
          <w:ilvl w:val="0"/>
          <w:numId w:val="1003"/>
        </w:numPr>
        <w:pStyle w:val="Compact"/>
      </w:pPr>
      <w:r>
        <w:rPr>
          <w:bCs/>
          <w:b/>
        </w:rPr>
        <w:t xml:space="preserve">Renewable Energy Usage:</w:t>
      </w:r>
      <w:r>
        <w:t xml:space="preserve"> </w:t>
      </w:r>
      <w:r>
        <w:t xml:space="preserve">zrokwlolnh (Illustrative: 60%)</w:t>
      </w:r>
    </w:p>
    <w:p>
      <w:pPr>
        <w:pStyle w:val="FirstParagraph"/>
      </w:pPr>
      <w:r>
        <w:t xml:space="preserve">This means 60% of the energy consumed for production is from renewable sources, and 40% is from the grid mix.</w:t>
      </w:r>
    </w:p>
    <w:bookmarkEnd w:id="32"/>
    <w:bookmarkStart w:id="33" w:name="X6f14dd7ee51b698cbc6302613c1166464a202b3"/>
    <w:p>
      <w:pPr>
        <w:pStyle w:val="Heading3"/>
      </w:pPr>
      <w:r>
        <w:t xml:space="preserve">2.3. Transport Logistics - Upstream &amp; Downstream Emissions (Scope 3)</w:t>
      </w:r>
    </w:p>
    <w:p>
      <w:pPr>
        <w:pStyle w:val="FirstParagraph"/>
      </w:pPr>
      <w:r>
        <w:t xml:space="preserve">Logistics data is incorporated into the supply chain analysis for both inbound components (upstream) and outbound finished products (downstream).</w:t>
      </w:r>
    </w:p>
    <w:p>
      <w:pPr>
        <w:numPr>
          <w:ilvl w:val="0"/>
          <w:numId w:val="1004"/>
        </w:numPr>
        <w:pStyle w:val="Compact"/>
      </w:pPr>
      <w:r>
        <w:rPr>
          <w:bCs/>
          <w:b/>
        </w:rPr>
        <w:t xml:space="preserve">Primary Transport Mode (e.g., from Europe to China/Global Sourcing):</w:t>
      </w:r>
      <w:r>
        <w:t xml:space="preserve"> </w:t>
      </w:r>
      <w:r>
        <w:t xml:space="preserve">Select Mode (Illustrative: Ocean Freight)</w:t>
      </w:r>
    </w:p>
    <w:p>
      <w:pPr>
        <w:numPr>
          <w:ilvl w:val="0"/>
          <w:numId w:val="1004"/>
        </w:numPr>
        <w:pStyle w:val="Compact"/>
      </w:pPr>
      <w:r>
        <w:rPr>
          <w:bCs/>
          <w:b/>
        </w:rPr>
        <w:t xml:space="preserve">Primary Transport Distance:</w:t>
      </w:r>
      <w:r>
        <w:t xml:space="preserve"> </w:t>
      </w:r>
      <w:r>
        <w:t xml:space="preserve">nunjzfqtmy (Illustrative: 15,000 km)</w:t>
      </w:r>
    </w:p>
    <w:p>
      <w:pPr>
        <w:numPr>
          <w:ilvl w:val="0"/>
          <w:numId w:val="1004"/>
        </w:numPr>
        <w:pStyle w:val="Compact"/>
      </w:pPr>
      <w:r>
        <w:rPr>
          <w:bCs/>
          <w:b/>
        </w:rPr>
        <w:t xml:space="preserve">Last-Mile Delivery Channel:</w:t>
      </w:r>
      <w:r>
        <w:t xml:space="preserve"> </w:t>
      </w:r>
      <w:r>
        <w:t xml:space="preserve">Delivery Type (Illustrative: Direct-to-Consumer via Road Freight)</w:t>
      </w:r>
    </w:p>
    <w:p>
      <w:pPr>
        <w:numPr>
          <w:ilvl w:val="0"/>
          <w:numId w:val="1004"/>
        </w:numPr>
        <w:pStyle w:val="Compact"/>
      </w:pPr>
      <w:r>
        <w:rPr>
          <w:bCs/>
          <w:b/>
        </w:rPr>
        <w:t xml:space="preserve">Last-Mile Delivery Distance (Illustrative):</w:t>
      </w:r>
      <w:r>
        <w:t xml:space="preserve"> </w:t>
      </w:r>
      <w:r>
        <w:t xml:space="preserve">500 km</w:t>
      </w:r>
    </w:p>
    <w:p>
      <w:pPr>
        <w:pStyle w:val="FirstParagraph"/>
      </w:pPr>
      <w:r>
        <w:t xml:space="preserve">For inbound components, an average transport impact will be estimated, while for outbound, the specified mode and distance will be used.</w:t>
      </w:r>
    </w:p>
    <w:bookmarkEnd w:id="33"/>
    <w:bookmarkStart w:id="34" w:name="X4c1461ba6418f59e6c0305e448e3f788173fe0f"/>
    <w:p>
      <w:pPr>
        <w:pStyle w:val="Heading3"/>
      </w:pPr>
      <w:r>
        <w:t xml:space="preserve">2.4. Use Phase - Energy Consumption (Downstream Emissions: Scope 3)</w:t>
      </w:r>
    </w:p>
    <w:p>
      <w:pPr>
        <w:pStyle w:val="FirstParagraph"/>
      </w:pPr>
      <w:r>
        <w:t xml:space="preserve">The use phase calculation uses the following product durability and consumption data:</w:t>
      </w:r>
    </w:p>
    <w:p>
      <w:pPr>
        <w:numPr>
          <w:ilvl w:val="0"/>
          <w:numId w:val="1005"/>
        </w:numPr>
        <w:pStyle w:val="Compact"/>
      </w:pPr>
      <w:r>
        <w:rPr>
          <w:bCs/>
          <w:b/>
        </w:rPr>
        <w:t xml:space="preserve">Product Lifespan:</w:t>
      </w:r>
      <w:r>
        <w:t xml:space="preserve"> </w:t>
      </w:r>
      <w:r>
        <w:t xml:space="preserve">ixywyuronn (Illustrative: 5 years)</w:t>
      </w:r>
    </w:p>
    <w:p>
      <w:pPr>
        <w:numPr>
          <w:ilvl w:val="0"/>
          <w:numId w:val="1005"/>
        </w:numPr>
        <w:pStyle w:val="Compact"/>
      </w:pPr>
      <w:r>
        <w:rPr>
          <w:bCs/>
          <w:b/>
        </w:rPr>
        <w:t xml:space="preserve">Energy Consumption in Use:</w:t>
      </w:r>
      <w:r>
        <w:t xml:space="preserve"> </w:t>
      </w:r>
      <w:r>
        <w:t xml:space="preserve">weympjvwtv (Illustrative: 10 kWh/year)</w:t>
      </w:r>
    </w:p>
    <w:bookmarkEnd w:id="34"/>
    <w:bookmarkStart w:id="35" w:name="X13a16284e4d7bc122b363dbc88b745330e84a51"/>
    <w:p>
      <w:pPr>
        <w:pStyle w:val="Heading3"/>
      </w:pPr>
      <w:r>
        <w:t xml:space="preserve">2.5. End-of-Life (EoL) Scenarios (Downstream Emissions: Scope 3)</w:t>
      </w:r>
    </w:p>
    <w:p>
      <w:pPr>
        <w:pStyle w:val="FirstParagraph"/>
      </w:pPr>
      <w:r>
        <w:t xml:space="preserve">Circular economy impacts are reflected through the incorporation of EoL scenarios:</w:t>
      </w:r>
    </w:p>
    <w:p>
      <w:pPr>
        <w:numPr>
          <w:ilvl w:val="0"/>
          <w:numId w:val="1006"/>
        </w:numPr>
        <w:pStyle w:val="Compact"/>
      </w:pPr>
      <w:r>
        <w:rPr>
          <w:bCs/>
          <w:b/>
        </w:rPr>
        <w:t xml:space="preserve">Recyclability Percentage:</w:t>
      </w:r>
      <w:r>
        <w:t xml:space="preserve"> </w:t>
      </w:r>
      <w:r>
        <w:t xml:space="preserve">ofpmsomdzp (Illustrative: 75%)</w:t>
      </w:r>
    </w:p>
    <w:p>
      <w:pPr>
        <w:numPr>
          <w:ilvl w:val="0"/>
          <w:numId w:val="1006"/>
        </w:numPr>
        <w:pStyle w:val="Compact"/>
      </w:pPr>
      <w:r>
        <w:rPr>
          <w:bCs/>
          <w:b/>
        </w:rPr>
        <w:t xml:space="preserve">Circular/Take-back Programs:</w:t>
      </w:r>
      <w:r>
        <w:t xml:space="preserve"> </w:t>
      </w:r>
      <w:r>
        <w:t xml:space="preserve">qihptfpqrj (Illustrative: Existing - product refurbishment, material recovery)</w:t>
      </w:r>
    </w:p>
    <w:p>
      <w:pPr>
        <w:pStyle w:val="FirstParagraph"/>
      </w:pPr>
      <w:r>
        <w:t xml:space="preserve">It\'s assumed that the 75% recyclable portion is effectively recycled, leading to avoided virgin material production emissions, while the remaining 25% is disposed of (e.g., landfill or incineration) with associated emissions.</w:t>
      </w:r>
    </w:p>
    <w:p>
      <w:r>
        <w:pict>
          <v:rect style="width:0;height:1.5pt" o:hralign="center" o:hrstd="t" o:hr="t"/>
        </w:pict>
      </w:r>
    </w:p>
    <w:bookmarkEnd w:id="35"/>
    <w:bookmarkEnd w:id="36"/>
    <w:bookmarkStart w:id="46" w:name="emission-calculation"/>
    <w:p>
      <w:pPr>
        <w:pStyle w:val="Heading2"/>
      </w:pPr>
      <w:r>
        <w:t xml:space="preserve">3. Emission Calculation</w:t>
      </w:r>
    </w:p>
    <w:p>
      <w:pPr>
        <w:pStyle w:val="FirstParagraph"/>
      </w:pPr>
      <w:r>
        <w:t xml:space="preserve">Emissions are calculated for each stage by multiplying activity data (e.g., kg of material, kWh of energy, tkm of transport) by relevant industry-standard emission factors (e.g., from Ecoinvent/DEFRA for illustrative purposes).</w:t>
      </w:r>
    </w:p>
    <w:p>
      <w:pPr>
        <w:pStyle w:val="BodyText"/>
      </w:pPr>
      <w:r>
        <w:rPr>
          <w:iCs/>
          <w:i/>
        </w:rPr>
        <w:t xml:space="preserve">Note: All calculations below use illustrative values based on the parameters provided, as specific numerical data was not directly available. Emission factors are representative industry averages for the purpose of this example.</w:t>
      </w:r>
    </w:p>
    <w:bookmarkStart w:id="37" w:name="X93b36252fa8db9039d2fc40336b411caee63579"/>
    <w:p>
      <w:pPr>
        <w:pStyle w:val="Heading3"/>
      </w:pPr>
      <w:r>
        <w:t xml:space="preserve">3.1. Scope 1 Emissions (Direct Emissions from Production)</w:t>
      </w:r>
    </w:p>
    <w:p>
      <w:pPr>
        <w:pStyle w:val="FirstParagraph"/>
      </w:pPr>
      <w:r>
        <w:t xml:space="preserve">For this product, it is assumed that direct Scope 1 emissions from the manufacturing facility (e.g., fuel combustion for on-site heating, process emissions) are negligible or fully offset by renewable sources (if applicable to heat generation). If present, these would be quantified based on fuel consumption and respective emission factors.</w:t>
      </w:r>
    </w:p>
    <w:p>
      <w:pPr>
        <w:pStyle w:val="BodyText"/>
      </w:pPr>
      <w:r>
        <w:rPr>
          <w:bCs/>
          <w:b/>
        </w:rPr>
        <w:t xml:space="preserve">Illustrative Scope 1 Emissions: 0.0 kg CO2e</w:t>
      </w:r>
    </w:p>
    <w:bookmarkEnd w:id="37"/>
    <w:bookmarkStart w:id="38" w:name="Xdcb69c89a2d5b7d56bbdc01f79a116e1def7079"/>
    <w:p>
      <w:pPr>
        <w:pStyle w:val="Heading3"/>
      </w:pPr>
      <w:r>
        <w:t xml:space="preserve">3.2. Scope 2 Emissions (Purchased Electricity for Production)</w:t>
      </w:r>
    </w:p>
    <w:p>
      <w:pPr>
        <w:numPr>
          <w:ilvl w:val="0"/>
          <w:numId w:val="1007"/>
        </w:numPr>
        <w:pStyle w:val="Compact"/>
      </w:pPr>
      <w:r>
        <w:rPr>
          <w:bCs/>
          <w:b/>
        </w:rPr>
        <w:t xml:space="preserve">Energy Intensity:</w:t>
      </w:r>
      <w:r>
        <w:t xml:space="preserve"> </w:t>
      </w:r>
      <w:r>
        <w:t xml:space="preserve">2.5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Grid Electricity Usage:</w:t>
      </w:r>
      <w:r>
        <w:t xml:space="preserve"> </w:t>
      </w:r>
      <w:r>
        <w:t xml:space="preserve">2.5 kWh/unit * (1 - 0.60) = 1.0 kWh/unit</w:t>
      </w:r>
    </w:p>
    <w:p>
      <w:pPr>
        <w:numPr>
          <w:ilvl w:val="0"/>
          <w:numId w:val="1007"/>
        </w:numPr>
        <w:pStyle w:val="Compact"/>
      </w:pPr>
      <w:r>
        <w:rPr>
          <w:bCs/>
          <w:b/>
        </w:rPr>
        <w:t xml:space="preserve">Illustrative China Grid Emission Factor (2026):</w:t>
      </w:r>
      <w:r>
        <w:t xml:space="preserve"> </w:t>
      </w:r>
      <w:r>
        <w:t xml:space="preserve">0.6 kg CO2e/kWh (fictional for illustrative purposes)</w:t>
      </w:r>
    </w:p>
    <w:p>
      <w:pPr>
        <w:numPr>
          <w:ilvl w:val="0"/>
          <w:numId w:val="1007"/>
        </w:numPr>
        <w:pStyle w:val="Compact"/>
      </w:pPr>
      <w:r>
        <w:rPr>
          <w:bCs/>
          <w:b/>
        </w:rPr>
        <w:t xml:space="preserve">Illustrative Renewable Energy Emission Factor:</w:t>
      </w:r>
      <w:r>
        <w:t xml:space="preserve"> </w:t>
      </w:r>
      <w:r>
        <w:t xml:space="preserve">0.0 kg CO2e/kWh</w:t>
      </w:r>
    </w:p>
    <w:p>
      <w:pPr>
        <w:numPr>
          <w:ilvl w:val="0"/>
          <w:numId w:val="1007"/>
        </w:numPr>
        <w:pStyle w:val="Compact"/>
      </w:pPr>
      <w:r>
        <w:rPr>
          <w:bCs/>
          <w:b/>
        </w:rPr>
        <w:t xml:space="preserve">Calculation:</w:t>
      </w:r>
      <w:r>
        <w:t xml:space="preserve"> </w:t>
      </w:r>
      <w:r>
        <w:t xml:space="preserve">1.0 kWh/unit * 0.6 kg CO2e/kWh</w:t>
      </w:r>
    </w:p>
    <w:p>
      <w:pPr>
        <w:pStyle w:val="FirstParagraph"/>
      </w:pPr>
      <w:r>
        <w:rPr>
          <w:bCs/>
          <w:b/>
        </w:rPr>
        <w:t xml:space="preserve">Illustrative Scope 2 Emissions: 0.6 kg CO2e</w:t>
      </w:r>
    </w:p>
    <w:bookmarkEnd w:id="38"/>
    <w:bookmarkStart w:id="44" w:name="scope-3-emissions-value-chain-emissions"/>
    <w:p>
      <w:pPr>
        <w:pStyle w:val="Heading3"/>
      </w:pPr>
      <w:r>
        <w:t xml:space="preserve">3.3. Scope 3 Emissions (Value Chain Emissions)</w:t>
      </w:r>
    </w:p>
    <w:bookmarkStart w:id="39" w:name="X0040541a582f9f406e10a32e5daef1fc0905df9"/>
    <w:p>
      <w:pPr>
        <w:pStyle w:val="Heading4"/>
      </w:pPr>
      <w:r>
        <w:t xml:space="preserve">3.3.1. Upstream Emissions (Purchased Goods and Services - Materials)</w:t>
      </w:r>
    </w:p>
    <w:p>
      <w:pPr>
        <w:pStyle w:val="FirstParagraph"/>
      </w:pPr>
      <w:r>
        <w:t xml:space="preserve">Based on the provided BOM\'s "Total Carbon" column, which accounts for raw material extraction and processing:</w:t>
      </w:r>
    </w:p>
    <w:p>
      <w:pPr>
        <w:pStyle w:val="BodyText"/>
      </w:pPr>
      <w:r>
        <w:rPr>
          <w:bCs/>
          <w:b/>
        </w:rPr>
        <w:t xml:space="preserve">Illustrative Scope 3 (Materials) Emissions: 8.75 kg CO2e</w:t>
      </w:r>
    </w:p>
    <w:bookmarkEnd w:id="39"/>
    <w:bookmarkStart w:id="40" w:name="upstream-transportation"/>
    <w:p>
      <w:pPr>
        <w:pStyle w:val="Heading4"/>
      </w:pPr>
      <w:r>
        <w:t xml:space="preserve">3.3.2. Upstream Transportation</w:t>
      </w:r>
    </w:p>
    <w:p>
      <w:pPr>
        <w:pStyle w:val="FirstParagraph"/>
      </w:pPr>
      <w:r>
        <w:t xml:space="preserve">Assuming inbound components for the 1.0 unit of \'nqmvtdrqlp\' weigh 1.0 kg (sum of Qty in BOM: 0.5+0.3+0.1+0.05+0.02 = 0.97 kg, rounded to 1.0 kg for simplicity).</w:t>
      </w:r>
    </w:p>
    <w:p>
      <w:pPr>
        <w:numPr>
          <w:ilvl w:val="0"/>
          <w:numId w:val="1008"/>
        </w:numPr>
        <w:pStyle w:val="Compact"/>
      </w:pPr>
      <w:r>
        <w:rPr>
          <w:bCs/>
          <w:b/>
        </w:rPr>
        <w:t xml:space="preserve">Primary Transport (Ocean Freight):</w:t>
      </w:r>
    </w:p>
    <w:p>
      <w:pPr>
        <w:numPr>
          <w:ilvl w:val="1"/>
          <w:numId w:val="1009"/>
        </w:numPr>
        <w:pStyle w:val="Compact"/>
      </w:pPr>
      <w:r>
        <w:t xml:space="preserve">Distance: 15,000 km</w:t>
      </w:r>
    </w:p>
    <w:p>
      <w:pPr>
        <w:numPr>
          <w:ilvl w:val="1"/>
          <w:numId w:val="1009"/>
        </w:numPr>
        <w:pStyle w:val="Compact"/>
      </w:pPr>
      <w:r>
        <w:t xml:space="preserve">Illustrative Ocean Freight Emission Factor: 0.01 kg CO2e/tonne-km</w:t>
      </w:r>
    </w:p>
    <w:p>
      <w:pPr>
        <w:numPr>
          <w:ilvl w:val="1"/>
          <w:numId w:val="1009"/>
        </w:numPr>
        <w:pStyle w:val="Compact"/>
      </w:pPr>
      <w:r>
        <w:t xml:space="preserve">Weight: 0.001 tonne (1 kg)</w:t>
      </w:r>
    </w:p>
    <w:p>
      <w:pPr>
        <w:numPr>
          <w:ilvl w:val="1"/>
          <w:numId w:val="1009"/>
        </w:numPr>
        <w:pStyle w:val="Compact"/>
      </w:pPr>
      <w:r>
        <w:t xml:space="preserve">Calculation: 0.001 tonne * 15,000 km * 0.01 kg CO2e/tkm = 0.15 kg CO2e</w:t>
      </w:r>
    </w:p>
    <w:p>
      <w:pPr>
        <w:numPr>
          <w:ilvl w:val="0"/>
          <w:numId w:val="1008"/>
        </w:numPr>
        <w:pStyle w:val="Compact"/>
      </w:pPr>
      <w:r>
        <w:rPr>
          <w:bCs/>
          <w:b/>
        </w:rPr>
        <w:t xml:space="preserve">Last-Mile Delivery (Road Freight to factory - assumed for inbound):</w:t>
      </w:r>
    </w:p>
    <w:p>
      <w:pPr>
        <w:numPr>
          <w:ilvl w:val="1"/>
          <w:numId w:val="1010"/>
        </w:numPr>
        <w:pStyle w:val="Compact"/>
      </w:pPr>
      <w:r>
        <w:t xml:space="preserve">Distance: 100 km (illustrative inbound last-mile)</w:t>
      </w:r>
    </w:p>
    <w:p>
      <w:pPr>
        <w:numPr>
          <w:ilvl w:val="1"/>
          <w:numId w:val="1010"/>
        </w:numPr>
        <w:pStyle w:val="Compact"/>
      </w:pPr>
      <w:r>
        <w:t xml:space="preserve">Illustrative Road Freight Emission Factor: 0.1 kg CO2e/tonne-km</w:t>
      </w:r>
    </w:p>
    <w:p>
      <w:pPr>
        <w:numPr>
          <w:ilvl w:val="1"/>
          <w:numId w:val="1010"/>
        </w:numPr>
        <w:pStyle w:val="Compact"/>
      </w:pPr>
      <w:r>
        <w:t xml:space="preserve">Weight: 0.001 tonne</w:t>
      </w:r>
    </w:p>
    <w:p>
      <w:pPr>
        <w:numPr>
          <w:ilvl w:val="1"/>
          <w:numId w:val="1010"/>
        </w:numPr>
        <w:pStyle w:val="Compact"/>
      </w:pPr>
      <w:r>
        <w:t xml:space="preserve">Calculation: 0.001 tonne * 100 km * 0.1 kg CO2e/tkm = 0.01 kg CO2e</w:t>
      </w:r>
    </w:p>
    <w:p>
      <w:pPr>
        <w:pStyle w:val="FirstParagraph"/>
      </w:pPr>
      <w:r>
        <w:rPr>
          <w:bCs/>
          <w:b/>
        </w:rPr>
        <w:t xml:space="preserve">Illustrative Scope 3 (Upstream Transport) Emissions: 0.16 kg CO2e</w:t>
      </w:r>
    </w:p>
    <w:bookmarkEnd w:id="40"/>
    <w:bookmarkStart w:id="41" w:name="Xa3f7e398e25166c76e26d3fb0cd198bfd8e861f"/>
    <w:p>
      <w:pPr>
        <w:pStyle w:val="Heading4"/>
      </w:pPr>
      <w:r>
        <w:t xml:space="preserve">3.3.3. Downstream Transportation (from Factory to Customer)</w:t>
      </w:r>
    </w:p>
    <w:p>
      <w:pPr>
        <w:pStyle w:val="FirstParagraph"/>
      </w:pPr>
      <w:r>
        <w:t xml:space="preserve">Assuming the finished product \'nqmvtdrqlp\' weighs 1.0 kg (using the same illustrative weight as components, for simplicity).</w:t>
      </w:r>
    </w:p>
    <w:p>
      <w:pPr>
        <w:numPr>
          <w:ilvl w:val="0"/>
          <w:numId w:val="1011"/>
        </w:numPr>
        <w:pStyle w:val="Compact"/>
      </w:pPr>
      <w:r>
        <w:rPr>
          <w:bCs/>
          <w:b/>
        </w:rPr>
        <w:t xml:space="preserve">Primary Transport (Ocean Freight - if applicable for finished product):</w:t>
      </w:r>
      <w:r>
        <w:t xml:space="preserve"> </w:t>
      </w:r>
      <w:r>
        <w:t xml:space="preserve">Not directly specified, but often a mix. Let\'s assume the "Select Mode" and "nunjzfqtmy" applies to primary outbound as well.</w:t>
      </w:r>
    </w:p>
    <w:p>
      <w:pPr>
        <w:numPr>
          <w:ilvl w:val="0"/>
          <w:numId w:val="1011"/>
        </w:numPr>
        <w:pStyle w:val="Compact"/>
      </w:pPr>
      <w:r>
        <w:rPr>
          <w:bCs/>
          <w:b/>
        </w:rPr>
        <w:t xml:space="preserve">Last-Mile Delivery Channel (Road Freight):</w:t>
      </w:r>
    </w:p>
    <w:p>
      <w:pPr>
        <w:numPr>
          <w:ilvl w:val="1"/>
          <w:numId w:val="1012"/>
        </w:numPr>
        <w:pStyle w:val="Compact"/>
      </w:pPr>
      <w:r>
        <w:t xml:space="preserve">Distance: 500 km</w:t>
      </w:r>
    </w:p>
    <w:p>
      <w:pPr>
        <w:numPr>
          <w:ilvl w:val="1"/>
          <w:numId w:val="1012"/>
        </w:numPr>
        <w:pStyle w:val="Compact"/>
      </w:pPr>
      <w:r>
        <w:t xml:space="preserve">Illustrative Road Freight Emission Factor: 0.1 kg CO2e/tonne-km</w:t>
      </w:r>
    </w:p>
    <w:p>
      <w:pPr>
        <w:numPr>
          <w:ilvl w:val="1"/>
          <w:numId w:val="1012"/>
        </w:numPr>
        <w:pStyle w:val="Compact"/>
      </w:pPr>
      <w:r>
        <w:t xml:space="preserve">Weight: 0.001 tonne</w:t>
      </w:r>
    </w:p>
    <w:p>
      <w:pPr>
        <w:numPr>
          <w:ilvl w:val="1"/>
          <w:numId w:val="1012"/>
        </w:numPr>
        <w:pStyle w:val="Compact"/>
      </w:pPr>
      <w:r>
        <w:t xml:space="preserve">Calculation: 0.001 tonne * 500 km * 0.1 kg CO2e/tkm = 0.05 kg CO2e</w:t>
      </w:r>
    </w:p>
    <w:p>
      <w:pPr>
        <w:pStyle w:val="FirstParagraph"/>
      </w:pPr>
      <w:r>
        <w:rPr>
          <w:bCs/>
          <w:b/>
        </w:rPr>
        <w:t xml:space="preserve">Illustrative Scope 3 (Downstream Transport) Emissions: 0.05 kg CO2e</w:t>
      </w:r>
    </w:p>
    <w:bookmarkEnd w:id="41"/>
    <w:bookmarkStart w:id="42" w:name="use-phase-emissions"/>
    <w:p>
      <w:pPr>
        <w:pStyle w:val="Heading4"/>
      </w:pPr>
      <w:r>
        <w:t xml:space="preserve">3.3.4. Use Phase Emissions</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10 kWh/year * 5 years = 50 kWh</w:t>
      </w:r>
    </w:p>
    <w:p>
      <w:pPr>
        <w:numPr>
          <w:ilvl w:val="0"/>
          <w:numId w:val="1013"/>
        </w:numPr>
        <w:pStyle w:val="Compact"/>
      </w:pPr>
      <w:r>
        <w:rPr>
          <w:bCs/>
          <w:b/>
        </w:rPr>
        <w:t xml:space="preserve">Illustrative User Electricity Mix Emission Factor (e.g., Europe):</w:t>
      </w:r>
      <w:r>
        <w:t xml:space="preserve"> </w:t>
      </w:r>
      <w:r>
        <w:t xml:space="preserve">0.4 kg CO2e/kWh (fictional for illustrative purposes)</w:t>
      </w:r>
    </w:p>
    <w:p>
      <w:pPr>
        <w:numPr>
          <w:ilvl w:val="0"/>
          <w:numId w:val="1013"/>
        </w:numPr>
        <w:pStyle w:val="Compact"/>
      </w:pPr>
      <w:r>
        <w:rPr>
          <w:bCs/>
          <w:b/>
        </w:rPr>
        <w:t xml:space="preserve">Calculation:</w:t>
      </w:r>
      <w:r>
        <w:t xml:space="preserve"> </w:t>
      </w:r>
      <w:r>
        <w:t xml:space="preserve">50 kWh * 0.4 kg CO2e/kWh</w:t>
      </w:r>
    </w:p>
    <w:p>
      <w:pPr>
        <w:pStyle w:val="FirstParagraph"/>
      </w:pPr>
      <w:r>
        <w:rPr>
          <w:bCs/>
          <w:b/>
        </w:rPr>
        <w:t xml:space="preserve">Illustrative Scope 3 (Use Phase) Emissions: 20.0 kg CO2e</w:t>
      </w:r>
    </w:p>
    <w:bookmarkEnd w:id="42"/>
    <w:bookmarkStart w:id="43" w:name="end-of-life-eol-emissions"/>
    <w:p>
      <w:pPr>
        <w:pStyle w:val="Heading4"/>
      </w:pPr>
      <w:r>
        <w:t xml:space="preserve">3.3.5. End-of-Life (EoL) Emissions</w:t>
      </w:r>
    </w:p>
    <w:p>
      <w:pPr>
        <w:pStyle w:val="FirstParagraph"/>
      </w:pPr>
      <w:r>
        <w:t xml:space="preserve">Assuming 75% recyclability and 25% disposal for a 1.0 kg product. For simplicity, we assume avoided emissions for the recycled portion and disposal emissions for the non-recycled portion.</w:t>
      </w:r>
    </w:p>
    <w:p>
      <w:pPr>
        <w:numPr>
          <w:ilvl w:val="0"/>
          <w:numId w:val="1014"/>
        </w:numPr>
        <w:pStyle w:val="Compact"/>
      </w:pPr>
      <w:r>
        <w:rPr>
          <w:bCs/>
          <w:b/>
        </w:rPr>
        <w:t xml:space="preserve">Recycled Portion:</w:t>
      </w:r>
      <w:r>
        <w:t xml:space="preserve"> </w:t>
      </w:r>
      <w:r>
        <w:t xml:space="preserve">0.75 kg</w:t>
      </w:r>
    </w:p>
    <w:p>
      <w:pPr>
        <w:numPr>
          <w:ilvl w:val="1"/>
          <w:numId w:val="1015"/>
        </w:numPr>
        <w:pStyle w:val="Compact"/>
      </w:pPr>
      <w:r>
        <w:t xml:space="preserve">Illustrative Avoided Emissions Factor (e.g., for metals/plastics recycling vs. virgin): -1.5 kg CO2e/kg (simplified average for illustrative purposes)</w:t>
      </w:r>
    </w:p>
    <w:p>
      <w:pPr>
        <w:numPr>
          <w:ilvl w:val="1"/>
          <w:numId w:val="1015"/>
        </w:numPr>
        <w:pStyle w:val="Compact"/>
      </w:pPr>
      <w:r>
        <w:t xml:space="preserve">Calculation: 0.75 kg * -1.5 kg CO2e/kg = -1.125 kg CO2e</w:t>
      </w:r>
    </w:p>
    <w:p>
      <w:pPr>
        <w:numPr>
          <w:ilvl w:val="0"/>
          <w:numId w:val="1014"/>
        </w:numPr>
        <w:pStyle w:val="Compact"/>
      </w:pPr>
      <w:r>
        <w:rPr>
          <w:bCs/>
          <w:b/>
        </w:rPr>
        <w:t xml:space="preserve">Disposed Portion:</w:t>
      </w:r>
      <w:r>
        <w:t xml:space="preserve"> </w:t>
      </w:r>
      <w:r>
        <w:t xml:space="preserve">0.25 kg</w:t>
      </w:r>
    </w:p>
    <w:p>
      <w:pPr>
        <w:numPr>
          <w:ilvl w:val="1"/>
          <w:numId w:val="1016"/>
        </w:numPr>
        <w:pStyle w:val="Compact"/>
      </w:pPr>
      <w:r>
        <w:t xml:space="preserve">Illustrative Disposal Emission Factor (e.g., landfill/incineration): 0.5 kg CO2e/kg (simplified average for illustrative purposes)</w:t>
      </w:r>
    </w:p>
    <w:p>
      <w:pPr>
        <w:numPr>
          <w:ilvl w:val="1"/>
          <w:numId w:val="1016"/>
        </w:numPr>
        <w:pStyle w:val="Compact"/>
      </w:pPr>
      <w:r>
        <w:t xml:space="preserve">Calculation: 0.25 kg * 0.5 kg CO2e/kg = 0.125 kg CO2e</w:t>
      </w:r>
    </w:p>
    <w:p>
      <w:pPr>
        <w:pStyle w:val="FirstParagraph"/>
      </w:pPr>
      <w:r>
        <w:rPr>
          <w:bCs/>
          <w:b/>
        </w:rPr>
        <w:t xml:space="preserve">Illustrative Scope 3 (EoL) Emissions: -1.0 kg CO2e</w:t>
      </w:r>
      <w:r>
        <w:t xml:space="preserve"> </w:t>
      </w:r>
      <w:r>
        <w:t xml:space="preserve">(Net benefit from recycling)</w:t>
      </w:r>
    </w:p>
    <w:bookmarkEnd w:id="43"/>
    <w:bookmarkEnd w:id="44"/>
    <w:bookmarkStart w:id="45" w:name="total-product-carbon-footprint"/>
    <w:p>
      <w:pPr>
        <w:pStyle w:val="Heading3"/>
      </w:pPr>
      <w:r>
        <w:t xml:space="preserve">3.4.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**Total Scope 1 (Direct)**</w:t>
            </w:r>
          </w:p>
        </w:tc>
        <w:tc>
          <w:tcPr/>
          <w:p>
            <w:pPr>
              <w:pStyle w:val="Compact"/>
              <w:jc w:val="left"/>
            </w:pPr>
            <w:r>
              <w:t xml:space="preserve">Scope 1</w:t>
            </w:r>
          </w:p>
        </w:tc>
        <w:tc>
          <w:tcPr/>
          <w:p>
            <w:pPr>
              <w:pStyle w:val="Compact"/>
              <w:jc w:val="left"/>
            </w:pPr>
            <w:r>
              <w:t xml:space="preserve">0.0</w:t>
            </w:r>
          </w:p>
        </w:tc>
      </w:tr>
      <w:tr>
        <w:tc>
          <w:tcPr/>
          <w:p>
            <w:pPr>
              <w:pStyle w:val="Compact"/>
              <w:jc w:val="left"/>
            </w:pPr>
            <w:r>
              <w:t xml:space="preserve">**Total Scope 2 (Purchased Energy)**</w:t>
            </w:r>
          </w:p>
        </w:tc>
        <w:tc>
          <w:tcPr/>
          <w:p>
            <w:pPr>
              <w:pStyle w:val="Compact"/>
              <w:jc w:val="left"/>
            </w:pPr>
            <w:r>
              <w:t xml:space="preserve">Scope 2</w:t>
            </w:r>
          </w:p>
        </w:tc>
        <w:tc>
          <w:tcPr/>
          <w:p>
            <w:pPr>
              <w:pStyle w:val="Compact"/>
              <w:jc w:val="left"/>
            </w:pPr>
            <w:r>
              <w:t xml:space="preserve">0.6</w:t>
            </w:r>
          </w:p>
        </w:tc>
      </w:tr>
      <w:tr>
        <w:tc>
          <w:tcPr/>
          <w:p>
            <w:pPr>
              <w:pStyle w:val="Compact"/>
              <w:jc w:val="left"/>
            </w:pPr>
            <w:r>
              <w:t xml:space="preserve">Materials (Purchased Goods &amp; Services)</w:t>
            </w:r>
          </w:p>
        </w:tc>
        <w:tc>
          <w:tcPr/>
          <w:p>
            <w:pPr>
              <w:pStyle w:val="Compact"/>
              <w:jc w:val="left"/>
            </w:pPr>
            <w:r>
              <w:t xml:space="preserve">Scope 3 (Upstream)</w:t>
            </w:r>
          </w:p>
        </w:tc>
        <w:tc>
          <w:tcPr/>
          <w:p>
            <w:pPr>
              <w:pStyle w:val="Compact"/>
              <w:jc w:val="left"/>
            </w:pPr>
            <w:r>
              <w:t xml:space="preserve">8.75</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w:t>
            </w:r>
          </w:p>
        </w:tc>
      </w:tr>
      <w:tr>
        <w:tc>
          <w:tcPr/>
          <w:p>
            <w:pPr>
              <w:pStyle w:val="Compact"/>
              <w:jc w:val="left"/>
            </w:pPr>
            <w:r>
              <w:t xml:space="preserve">**Total Scope 3**</w:t>
            </w:r>
          </w:p>
        </w:tc>
        <w:tc>
          <w:tcPr/>
          <w:p>
            <w:pPr>
              <w:pStyle w:val="Compact"/>
              <w:jc w:val="left"/>
            </w:pPr>
            <w:r>
              <w:t xml:space="preserve">Scope 3</w:t>
            </w:r>
          </w:p>
        </w:tc>
        <w:tc>
          <w:tcPr/>
          <w:p>
            <w:pPr>
              <w:pStyle w:val="Compact"/>
              <w:jc w:val="left"/>
            </w:pPr>
            <w:r>
              <w:t xml:space="preserve">27.96</w:t>
            </w:r>
          </w:p>
        </w:tc>
      </w:tr>
      <w:tr>
        <w:tc>
          <w:tcPr/>
          <w:p>
            <w:pPr>
              <w:pStyle w:val="Compact"/>
              <w:jc w:val="left"/>
            </w:pPr>
            <w:r>
              <w:t xml:space="preserve">**TOTAL PRODUCT CARBON FOOTPRINT**</w:t>
            </w:r>
          </w:p>
        </w:tc>
        <w:tc>
          <w:tcPr/>
          <w:p>
            <w:pPr>
              <w:pStyle w:val="Compact"/>
            </w:pPr>
          </w:p>
        </w:tc>
        <w:tc>
          <w:tcPr/>
          <w:p>
            <w:pPr>
              <w:pStyle w:val="Compact"/>
              <w:jc w:val="left"/>
            </w:pPr>
            <w:r>
              <w:t xml:space="preserve">**28.56**</w:t>
            </w:r>
          </w:p>
        </w:tc>
      </w:tr>
    </w:tbl>
    <w:p>
      <w:pPr>
        <w:pStyle w:val="BodyText"/>
      </w:pPr>
      <w:r>
        <w:rPr>
          <w:bCs/>
          <w:b/>
        </w:rPr>
        <w:t xml:space="preserve">Illustrative Total Product Carbon Footprint for 1.0 unit of nqmvtdrqlp: 28.56 kg CO2e</w:t>
      </w:r>
    </w:p>
    <w:p>
      <w:r>
        <w:pict>
          <v:rect style="width:0;height:1.5pt" o:hralign="center" o:hrstd="t" o:hr="t"/>
        </w:pict>
      </w:r>
    </w:p>
    <w:bookmarkEnd w:id="45"/>
    <w:bookmarkEnd w:id="46"/>
    <w:bookmarkStart w:id="50"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Based on the illustrative calculations, the primary emission hotspots for nqmvtdrqlp are:</w:t>
      </w:r>
    </w:p>
    <w:p>
      <w:pPr>
        <w:numPr>
          <w:ilvl w:val="0"/>
          <w:numId w:val="1017"/>
        </w:numPr>
        <w:pStyle w:val="Compact"/>
      </w:pPr>
      <w:r>
        <w:rPr>
          <w:bCs/>
          <w:b/>
        </w:rPr>
        <w:t xml:space="preserve">Use Phase (Approx. 70%):</w:t>
      </w:r>
      <w:r>
        <w:t xml:space="preserve"> </w:t>
      </w:r>
      <w:r>
        <w:t xml:space="preserve">The energy consumption during the product\'s 5-year lifespan is the most significant contributor to the overall PCF.</w:t>
      </w:r>
    </w:p>
    <w:p>
      <w:pPr>
        <w:numPr>
          <w:ilvl w:val="0"/>
          <w:numId w:val="1017"/>
        </w:numPr>
        <w:pStyle w:val="Compact"/>
      </w:pPr>
      <w:r>
        <w:rPr>
          <w:bCs/>
          <w:b/>
        </w:rPr>
        <w:t xml:space="preserve">Material Production (Approx. 31%):</w:t>
      </w:r>
      <w:r>
        <w:t xml:space="preserve"> </w:t>
      </w:r>
      <w:r>
        <w:t xml:space="preserve">The extraction and processing of raw materials, particularly the Aluminium Casing and Circuit Board, contribute substantially.</w:t>
      </w:r>
    </w:p>
    <w:p>
      <w:pPr>
        <w:numPr>
          <w:ilvl w:val="0"/>
          <w:numId w:val="1017"/>
        </w:numPr>
        <w:pStyle w:val="Compact"/>
      </w:pPr>
      <w:r>
        <w:rPr>
          <w:bCs/>
          <w:b/>
        </w:rPr>
        <w:t xml:space="preserve">Production Energy (Approx. 2%):</w:t>
      </w:r>
      <w:r>
        <w:t xml:space="preserve"> </w:t>
      </w:r>
      <w:r>
        <w:t xml:space="preserve">While significant, the impact is mitigated by 60% renewable energy usage.</w:t>
      </w:r>
    </w:p>
    <w:p>
      <w:pPr>
        <w:numPr>
          <w:ilvl w:val="0"/>
          <w:numId w:val="1017"/>
        </w:numPr>
        <w:pStyle w:val="Compact"/>
      </w:pPr>
      <w:r>
        <w:rPr>
          <w:bCs/>
          <w:b/>
        </w:rPr>
        <w:t xml:space="preserve">End-of-Life (Net Benefit):</w:t>
      </w:r>
      <w:r>
        <w:t xml:space="preserve"> </w:t>
      </w:r>
      <w:r>
        <w:t xml:space="preserve">The high recyclability percentage leads to a net reduction in emissions, highlighting the positive impact of circular economy practices.</w:t>
      </w:r>
    </w:p>
    <w:bookmarkEnd w:id="47"/>
    <w:bookmarkStart w:id="48" w:name="reliability-and-limitations"/>
    <w:p>
      <w:pPr>
        <w:pStyle w:val="Heading3"/>
      </w:pPr>
      <w:r>
        <w:t xml:space="preserve">4.2. Reliability and Limitations</w:t>
      </w:r>
    </w:p>
    <w:p>
      <w:pPr>
        <w:pStyle w:val="FirstParagraph"/>
      </w:pPr>
      <w:r>
        <w:t xml:space="preserve">The reliability of this report is directly tied to the quality and availability of data. This analysis relies on the detailed BOM and specific operational parameters provided. However, due to the placeholder nature of some input parameters (e.g., \'xpzodedv\' for BOM data, \'nunjzfqtmy\' for distance), illustrative values and general industry emission factors (e.g., from Ecoinvent/DEFRA for a Chinese production context and European supply chain focus) were used where specific primary data was not directly calculable by the model. To enhance accuracy, primary data collection for all lifecycle stages is recommended.</w:t>
      </w:r>
    </w:p>
    <w:bookmarkEnd w:id="48"/>
    <w:bookmarkStart w:id="49" w:name="recommendations-for-emission-reduction"/>
    <w:p>
      <w:pPr>
        <w:pStyle w:val="Heading3"/>
      </w:pPr>
      <w:r>
        <w:t xml:space="preserve">4.3. Recommendations for Emission Reduction</w:t>
      </w:r>
    </w:p>
    <w:p>
      <w:pPr>
        <w:numPr>
          <w:ilvl w:val="0"/>
          <w:numId w:val="1018"/>
        </w:numPr>
        <w:pStyle w:val="Compact"/>
      </w:pPr>
      <w:r>
        <w:rPr>
          <w:bCs/>
          <w:b/>
        </w:rPr>
        <w:t xml:space="preserve">Optimize Use Phase Efficiency:</w:t>
      </w:r>
      <w:r>
        <w:t xml:space="preserve"> </w:t>
      </w:r>
      <w:r>
        <w:t xml:space="preserve">Focus on reducing the product\'s energy consumption during its lifespan. This could involve more energy-efficient components, smart power management features, or user education on efficient usage.</w:t>
      </w:r>
    </w:p>
    <w:p>
      <w:pPr>
        <w:numPr>
          <w:ilvl w:val="0"/>
          <w:numId w:val="1018"/>
        </w:numPr>
        <w:pStyle w:val="Compact"/>
      </w:pPr>
      <w:r>
        <w:rPr>
          <w:bCs/>
          <w:b/>
        </w:rPr>
        <w:t xml:space="preserve">Sustainable Material Sourcing:</w:t>
      </w:r>
      <w:r>
        <w:t xml:space="preserve"> </w:t>
      </w:r>
      <w:r>
        <w:t xml:space="preserve">Explore materials with lower embedded carbon, such as recycled content where feasible, or materials produced with renewable energy.</w:t>
      </w:r>
    </w:p>
    <w:p>
      <w:pPr>
        <w:numPr>
          <w:ilvl w:val="0"/>
          <w:numId w:val="1018"/>
        </w:numPr>
        <w:pStyle w:val="Compact"/>
      </w:pPr>
      <w:r>
        <w:rPr>
          <w:bCs/>
          <w:b/>
        </w:rPr>
        <w:t xml:space="preserve">Increase Renewable Energy in Production:</w:t>
      </w:r>
      <w:r>
        <w:t xml:space="preserve"> </w:t>
      </w:r>
      <w:r>
        <w:t xml:space="preserve">While 60% is good, striving for 100% renewable energy in manufacturing would further reduce Scope 2 emissions.</w:t>
      </w:r>
    </w:p>
    <w:p>
      <w:pPr>
        <w:numPr>
          <w:ilvl w:val="0"/>
          <w:numId w:val="1018"/>
        </w:numPr>
        <w:pStyle w:val="Compact"/>
      </w:pPr>
      <w:r>
        <w:rPr>
          <w:bCs/>
          <w:b/>
        </w:rPr>
        <w:t xml:space="preserve">Enhance Circularity:</w:t>
      </w:r>
      <w:r>
        <w:t xml:space="preserve"> </w:t>
      </w:r>
      <w:r>
        <w:t xml:space="preserve">Continue to invest in and expand take-back and refurbishment programs to maximize material recovery and further reduce virgin material demand. Design for disassembly and repairability can also extend product lifespan.</w:t>
      </w:r>
    </w:p>
    <w:p>
      <w:pPr>
        <w:numPr>
          <w:ilvl w:val="0"/>
          <w:numId w:val="1018"/>
        </w:numPr>
        <w:pStyle w:val="Compact"/>
      </w:pPr>
      <w:r>
        <w:rPr>
          <w:bCs/>
          <w:b/>
        </w:rPr>
        <w:t xml:space="preserve">Logistics Optimization:</w:t>
      </w:r>
      <w:r>
        <w:t xml:space="preserve"> </w:t>
      </w:r>
      <w:r>
        <w:t xml:space="preserve">Although a smaller hotspot, optimizing transportation routes, shifting to lower-emission transport modes where possible, and consolidating shipments can contribute to reductions.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nqmvtdrqlp</dc:title>
  <dc:creator/>
  <dc:description>Detailed Product Carbon Footprint (PCF) analysis for nqmvtdrqlp, adhering to GHG Protocol standards and 2026 LSR Update, conducted by Senior Sustainability Consultant mrgqkmyxow for ltvqfwsrjd.</dc:description>
  <dc:language>en</dc:language>
  <cp:keywords/>
  <dcterms:created xsi:type="dcterms:W3CDTF">2026-05-30T22:04:47Z</dcterms:created>
  <dcterms:modified xsi:type="dcterms:W3CDTF">2026-05-30T22:04:47Z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