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nqixhghlnn</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nqixhghlnn"/>
    <w:p>
      <w:pPr>
        <w:pStyle w:val="Heading2"/>
      </w:pPr>
      <w:r>
        <w:t xml:space="preserve">Product: nqixhghlnn</w:t>
      </w:r>
    </w:p>
    <w:p>
      <w:pPr>
        <w:pStyle w:val="FirstParagraph"/>
      </w:pPr>
      <w:r>
        <w:rPr>
          <w:bCs/>
          <w:b/>
        </w:rPr>
        <w:t xml:space="preserve">Company Name:</w:t>
      </w:r>
      <w:r>
        <w:t xml:space="preserve"> </w:t>
      </w:r>
      <w:r>
        <w:t xml:space="preserve">hlpmzpdutk</w:t>
      </w:r>
    </w:p>
    <w:p>
      <w:pPr>
        <w:pStyle w:val="BodyText"/>
      </w:pPr>
      <w:r>
        <w:rPr>
          <w:bCs/>
          <w:b/>
        </w:rPr>
        <w:t xml:space="preserve">Senior Sustainability Consultant:</w:t>
      </w:r>
      <w:r>
        <w:t xml:space="preserve"> </w:t>
      </w:r>
      <w:r>
        <w:t xml:space="preserve">ghyviqerfn</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The accuracy of the results is dependent on the completeness and quality of the provided input parameters and the emission factors used.</w:t>
      </w:r>
      <w:r>
        <w:t xml:space="preserve"> </w:t>
      </w:r>
      <w:r>
        <w:t xml:space="preserve">All emission factors are illustrative and based on publicly available databases where specific data was not provided.</w:t>
      </w:r>
    </w:p>
    <w:p>
      <w:pPr>
        <w:pStyle w:val="BodyText"/>
      </w:pPr>
      <w:r>
        <w:t xml:space="preserve">Date Generated: May 27, 2026</w:t>
      </w:r>
    </w:p>
    <w:bookmarkEnd w:id="20"/>
    <w:bookmarkEnd w:id="21"/>
    <w:bookmarkStart w:id="22" w:name="X082eef0135f86d5189f5f84c3beb835815597c3"/>
    <w:p>
      <w:pPr>
        <w:pStyle w:val="Heading1"/>
      </w:pPr>
      <w:r>
        <w:t xml:space="preserve">Product Carbon Footprint Report for nqixhghlnn</w:t>
      </w:r>
    </w:p>
    <w:p>
      <w:pPr>
        <w:pStyle w:val="FirstParagraph"/>
      </w:pPr>
      <w:r>
        <w:t xml:space="preserve">Generated Date: May 27, 2026</w:t>
      </w:r>
    </w:p>
    <w:bookmarkEnd w:id="22"/>
    <w:p>
      <w:pPr>
        <w:pStyle w:val="BodyText"/>
      </w:pPr>
      <w:r>
        <w:t xml:space="preserve">As ghyviqerfn, a Senior Sustainability Consultant specializing in GHG Protocol for hlpmzpdutk, this report details a high-detail Product Carbon Footprint (PCF) analysis for the product nqixhghlnn. This analysis rigorously follows the Greenhouse Gas (GHG) Protocol standards, categorizing emissions into Scope 1, Scope 2, and Scope 3, and incorporates the principles of the 2026 Land Sector and Removals (LSR) Standard where applicable, alongside ensuring robust Scope 3 coverage.</w:t>
      </w:r>
    </w:p>
    <w:p>
      <w:pPr>
        <w:pStyle w:val="BodyText"/>
      </w:pPr>
      <w:r>
        <w:t xml:space="preserve">A Product Carbon Footprint (PCF) quantifies all greenhouse gas (GHG) emissions generated throughout a product\'s lifecycle, from raw material acquisition and production through manufacturing, use, and end-of-life disposal. It is expressed in kilograms of CO2 equivalent (kg CO2e) and serves as a critical tool for identifying emission hotspots and informing decarbonization strategies.</w:t>
      </w:r>
    </w:p>
    <w:p>
      <w:r>
        <w:pict>
          <v:rect style="width:0;height:1.5pt" o:hralign="center" o:hrstd="t" o:hr="t"/>
        </w:pict>
      </w:r>
    </w:p>
    <w:bookmarkStart w:id="23" w:name="scope-definition-and-system-boundaries"/>
    <w:p>
      <w:pPr>
        <w:pStyle w:val="Heading2"/>
      </w:pPr>
      <w:r>
        <w:t xml:space="preserve">1. Scope Definition and System Boundaries</w:t>
      </w:r>
    </w:p>
    <w:p>
      <w:pPr>
        <w:pStyle w:val="FirstParagraph"/>
      </w:pPr>
      <w:r>
        <w:t xml:space="preserve">The first step in any PCF analysis is to clearly define the goal and scope.</w:t>
      </w:r>
    </w:p>
    <w:p>
      <w:pPr>
        <w:numPr>
          <w:ilvl w:val="0"/>
          <w:numId w:val="1001"/>
        </w:numPr>
        <w:pStyle w:val="Compact"/>
      </w:pPr>
      <w:r>
        <w:rPr>
          <w:bCs/>
          <w:b/>
        </w:rPr>
        <w:t xml:space="preserve">Functional Unit:</w:t>
      </w:r>
      <w:r>
        <w:t xml:space="preserve"> </w:t>
      </w:r>
      <w:r>
        <w:t xml:space="preserve">1.0 unit of nqixhghlnn. This represents the reference unit to which all inputs and outputs are normalized, ensuring comparability.</w:t>
      </w:r>
    </w:p>
    <w:p>
      <w:pPr>
        <w:numPr>
          <w:ilvl w:val="0"/>
          <w:numId w:val="1001"/>
        </w:numPr>
        <w:pStyle w:val="Compact"/>
      </w:pPr>
      <w:r>
        <w:rPr>
          <w:bCs/>
          <w:b/>
        </w:rPr>
        <w:t xml:space="preserve">System Boundary:</w:t>
      </w:r>
      <w:r>
        <w:t xml:space="preserve"> </w:t>
      </w:r>
      <w:r>
        <w:t xml:space="preserve">A modified "Cradle-to-Grave" approach has been adopted for nqixhghlnn. While the "factory_gate" boundary specifies the primary product system leaving the production site, the analysis extends to include the use phase and end-of-life scenarios, reflecting a comprehensive value chain assessment. This is crucial for products with significant downstream impacts.</w:t>
      </w:r>
    </w:p>
    <w:p>
      <w:pPr>
        <w:numPr>
          <w:ilvl w:val="0"/>
          <w:numId w:val="1001"/>
        </w:numPr>
        <w:pStyle w:val="Compact"/>
      </w:pPr>
      <w:r>
        <w:rPr>
          <w:bCs/>
          <w:b/>
        </w:rPr>
        <w:t xml:space="preserve">Geographic Scope:</w:t>
      </w:r>
      <w:r>
        <w:t xml:space="preserve"> </w:t>
      </w:r>
      <w:r>
        <w:t xml:space="preserve">Final production occurs in China, with a supply chain focus on Europe. The use phase is assumed to primarily occur in Europe.</w:t>
      </w:r>
    </w:p>
    <w:p>
      <w:pPr>
        <w:numPr>
          <w:ilvl w:val="0"/>
          <w:numId w:val="1001"/>
        </w:numPr>
        <w:pStyle w:val="Compact"/>
      </w:pPr>
      <w:r>
        <w:rPr>
          <w:bCs/>
          <w:b/>
        </w:rPr>
        <w:t xml:space="preserve">Accounting Standard:</w:t>
      </w:r>
      <w:r>
        <w:t xml:space="preserve"> </w:t>
      </w:r>
      <w:r>
        <w:t xml:space="preserve">This PCF is conducted in accordance with the</w:t>
      </w:r>
      <w:r>
        <w:t xml:space="preserve"> </w:t>
      </w:r>
      <w:r>
        <w:rPr>
          <w:bCs/>
          <w:b/>
        </w:rPr>
        <w:t xml:space="preserve">GHG Protocol</w:t>
      </w:r>
      <w:r>
        <w:t xml:space="preserve"> </w:t>
      </w:r>
      <w:r>
        <w:t xml:space="preserve">Corporate Accounting and Reporting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based on material inputs, energy consumption, and transport distances. Co-product allocation is not applicable in this single-product analysis.</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This section outlines the lifecycle stages of nqixhghlnn and details the data collected for the Life Cycle Inventory (LCI).</w:t>
      </w:r>
    </w:p>
    <w:bookmarkStart w:id="24" w:name="Xb84281fdbc50ff219a1fbb0a710f2ef120e8987"/>
    <w:p>
      <w:pPr>
        <w:pStyle w:val="Heading3"/>
      </w:pPr>
      <w:r>
        <w:t xml:space="preserve">Material Acquisition &amp; Pre-processing (GHG Protocol Scope 3, Category 1: Purchased Goods and Services)</w:t>
      </w:r>
    </w:p>
    <w:p>
      <w:pPr>
        <w:pStyle w:val="FirstParagraph"/>
      </w:pPr>
      <w:r>
        <w:t xml:space="preserve">This stage accounts for emissions from the extraction, processing, and manufacturing of all raw materials and components used in nqixhghlnn. The detailed Bill of Materials (BOM) for nqixhghlnn (ijprxovj) has been used for high-accuracy material impact calculation.</w:t>
      </w:r>
    </w:p>
    <w:p>
      <w:pPr>
        <w:pStyle w:val="BodyText"/>
      </w:pPr>
      <w:r>
        <w:rPr>
          <w:bCs/>
          <w:b/>
        </w:rPr>
        <w:t xml:space="preserve">Illustrative Bill of Materials (BOM) Data and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3</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4</w:t>
            </w:r>
          </w:p>
        </w:tc>
        <w:tc>
          <w:tcPr/>
          <w:p>
            <w:pPr>
              <w:pStyle w:val="Compact"/>
              <w:jc w:val="left"/>
            </w:pPr>
            <w:r>
              <w:t xml:space="preserve">Lithium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8.0</w:t>
            </w:r>
          </w:p>
        </w:tc>
        <w:tc>
          <w:tcPr/>
          <w:p>
            <w:pPr>
              <w:pStyle w:val="Compact"/>
              <w:jc w:val="left"/>
            </w:pPr>
            <w:r>
              <w:t xml:space="preserve">8.0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bCs/>
          <w:b/>
        </w:rPr>
        <w:t xml:space="preserve">Total Material Emissions: 15.75 kgCO2e</w:t>
      </w:r>
    </w:p>
    <w:p>
      <w:pPr>
        <w:pStyle w:val="BodyText"/>
      </w:pPr>
      <w:r>
        <w:t xml:space="preserve">*Emission factors for Aluminum production can range from 0.514 kgCO2e/kg for North America to around 16.91 kgCO2e/kg globally for primary production, highly dependent on the energy mix used.</w:t>
      </w:r>
      <w:r>
        <w:t xml:space="preserve"> </w:t>
      </w:r>
      <w:r>
        <w:t xml:space="preserve">*Plastic (LDPE, PP) production can range from 2.792 kgCO2e/kg to 6 kg CO2e/kg depending on the type and region.</w:t>
      </w:r>
      <w:r>
        <w:t xml:space="preserve"> </w:t>
      </w:r>
      <w:r>
        <w:t xml:space="preserve">*Cardboard production varies, with virgin cardboard around 0.801-1.20 kgCO2e/kg and recycled cardboard around 0.700-0.82 kgCO2e/kg.</w:t>
      </w:r>
      <w:r>
        <w:t xml:space="preserve"> </w:t>
      </w:r>
      <w:r>
        <w:t xml:space="preserve">*Lithium battery production has a carbon footprint typically ranging from 150-200 kg of CO2e per kWh of battery capacity, translating to significant emissions per unit.</w:t>
      </w:r>
    </w:p>
    <w:bookmarkEnd w:id="24"/>
    <w:bookmarkStart w:id="25" w:name="Xdd9554695e2fc1a162f7e4cdadc4f62238507a6"/>
    <w:p>
      <w:pPr>
        <w:pStyle w:val="Heading3"/>
      </w:pPr>
      <w:r>
        <w:t xml:space="preserve">Production (Manufacturing) Phase (GHG Protocol Scope 2: Purchased Electricity)</w:t>
      </w:r>
    </w:p>
    <w:p>
      <w:pPr>
        <w:pStyle w:val="FirstParagraph"/>
      </w:pPr>
      <w:r>
        <w:t xml:space="preserve">This stage covers emissions from energy consumed during the manufacturing processes of nqixhghlnn at the hlpmzpdutk factory in China.</w:t>
      </w:r>
    </w:p>
    <w:p>
      <w:pPr>
        <w:numPr>
          <w:ilvl w:val="0"/>
          <w:numId w:val="1002"/>
        </w:numPr>
        <w:pStyle w:val="Compact"/>
      </w:pPr>
      <w:r>
        <w:rPr>
          <w:bCs/>
          <w:b/>
        </w:rPr>
        <w:t xml:space="preserve">Energy Intensity (kWh/unit):</w:t>
      </w:r>
      <w:r>
        <w:t xml:space="preserve"> </w:t>
      </w:r>
      <w:r>
        <w:t xml:space="preserve">khlrwsolsx = 15 kWh/unit</w:t>
      </w:r>
    </w:p>
    <w:p>
      <w:pPr>
        <w:numPr>
          <w:ilvl w:val="0"/>
          <w:numId w:val="1002"/>
        </w:numPr>
        <w:pStyle w:val="Compact"/>
      </w:pPr>
      <w:r>
        <w:rPr>
          <w:bCs/>
          <w:b/>
        </w:rPr>
        <w:t xml:space="preserve">Renewable Energy Usage:</w:t>
      </w:r>
      <w:r>
        <w:t xml:space="preserve"> </w:t>
      </w:r>
      <w:r>
        <w:t xml:space="preserve">dvzfmmdkqd = 60%</w:t>
      </w:r>
    </w:p>
    <w:p>
      <w:pPr>
        <w:numPr>
          <w:ilvl w:val="0"/>
          <w:numId w:val="1002"/>
        </w:numPr>
        <w:pStyle w:val="Compact"/>
      </w:pPr>
      <w:r>
        <w:rPr>
          <w:bCs/>
          <w:b/>
        </w:rPr>
        <w:t xml:space="preserve">Non-renewable electricity consumed:</w:t>
      </w:r>
      <w:r>
        <w:t xml:space="preserve"> </w:t>
      </w:r>
      <w:r>
        <w:t xml:space="preserve">15 kWh/unit * (1 - 0.60) = 6 kWh/unit</w:t>
      </w:r>
    </w:p>
    <w:p>
      <w:pPr>
        <w:numPr>
          <w:ilvl w:val="0"/>
          <w:numId w:val="1002"/>
        </w:numPr>
        <w:pStyle w:val="Compact"/>
      </w:pPr>
      <w:r>
        <w:rPr>
          <w:bCs/>
          <w:b/>
        </w:rPr>
        <w:t xml:space="preserve">Electricity Grid Emission Factor (China):</w:t>
      </w:r>
      <w:r>
        <w:t xml:space="preserve"> </w:t>
      </w:r>
      <w:r>
        <w:t xml:space="preserve">0.5568 kg CO2e/kWh (Average for 2021)</w:t>
      </w:r>
    </w:p>
    <w:p>
      <w:pPr>
        <w:pStyle w:val="FirstParagraph"/>
      </w:pPr>
      <w:r>
        <w:rPr>
          <w:bCs/>
          <w:b/>
        </w:rPr>
        <w:t xml:space="preserve">Total Production Emissions: 3.34 kgCO2e</w:t>
      </w:r>
    </w:p>
    <w:bookmarkEnd w:id="25"/>
    <w:bookmarkStart w:id="26" w:name="Xe63fcc32fd987d2725ba82760b3117e8983b328"/>
    <w:p>
      <w:pPr>
        <w:pStyle w:val="Heading3"/>
      </w:pPr>
      <w:r>
        <w:t xml:space="preserve">Transport (GHG Protocol Scope 3, Category 4: Upstream Transportation &amp; Distribution &amp; Category 9: Downstream Transportation &amp; Distribution)</w:t>
      </w:r>
    </w:p>
    <w:p>
      <w:pPr>
        <w:pStyle w:val="FirstParagraph"/>
      </w:pPr>
      <w:r>
        <w:t xml:space="preserve">This includes transportation of raw materials to the factory (inbound) and finished products to the customer (outbound).</w:t>
      </w:r>
    </w:p>
    <w:p>
      <w:pPr>
        <w:numPr>
          <w:ilvl w:val="0"/>
          <w:numId w:val="1003"/>
        </w:numPr>
        <w:pStyle w:val="Compact"/>
      </w:pPr>
      <w:r>
        <w:rPr>
          <w:bCs/>
          <w:b/>
        </w:rPr>
        <w:t xml:space="preserve">Assumed Product Weight for Transport:</w:t>
      </w:r>
      <w:r>
        <w:t xml:space="preserve"> </w:t>
      </w:r>
      <w:r>
        <w:t xml:space="preserve">2 kg (0.002 tonnes).</w:t>
      </w:r>
    </w:p>
    <w:p>
      <w:pPr>
        <w:numPr>
          <w:ilvl w:val="0"/>
          <w:numId w:val="1003"/>
        </w:numPr>
        <w:pStyle w:val="Compact"/>
      </w:pPr>
      <w:r>
        <w:rPr>
          <w:bCs/>
          <w:b/>
        </w:rPr>
        <w:t xml:space="preserve">Inbound Logistics (Raw Materials):</w:t>
      </w:r>
    </w:p>
    <w:p>
      <w:pPr>
        <w:numPr>
          <w:ilvl w:val="1"/>
          <w:numId w:val="1004"/>
        </w:numPr>
        <w:pStyle w:val="Compact"/>
      </w:pPr>
      <w:r>
        <w:rPr>
          <w:bCs/>
          <w:b/>
        </w:rPr>
        <w:t xml:space="preserve">Assumed Distance:</w:t>
      </w:r>
      <w:r>
        <w:t xml:space="preserve"> </w:t>
      </w:r>
      <w:r>
        <w:t xml:space="preserve">1000 km (e.g., from Europe to China).</w:t>
      </w:r>
    </w:p>
    <w:p>
      <w:pPr>
        <w:numPr>
          <w:ilvl w:val="1"/>
          <w:numId w:val="1004"/>
        </w:numPr>
        <w:pStyle w:val="Compact"/>
      </w:pPr>
      <w:r>
        <w:rPr>
          <w:bCs/>
          <w:b/>
        </w:rPr>
        <w:t xml:space="preserve">Mode:</w:t>
      </w:r>
      <w:r>
        <w:t xml:space="preserve"> </w:t>
      </w:r>
      <w:r>
        <w:t xml:space="preserve">Ocean Freight.</w:t>
      </w:r>
    </w:p>
    <w:p>
      <w:pPr>
        <w:numPr>
          <w:ilvl w:val="1"/>
          <w:numId w:val="1004"/>
        </w:numPr>
        <w:pStyle w:val="Compact"/>
      </w:pPr>
      <w:r>
        <w:rPr>
          <w:bCs/>
          <w:b/>
        </w:rPr>
        <w:t xml:space="preserve">Ocean Freight Emission Factor:</w:t>
      </w:r>
      <w:r>
        <w:t xml:space="preserve"> </w:t>
      </w:r>
      <w:r>
        <w:t xml:space="preserve">0.016142 kg CO2e/tonne-km.</w:t>
      </w:r>
    </w:p>
    <w:p>
      <w:pPr>
        <w:numPr>
          <w:ilvl w:val="1"/>
          <w:numId w:val="1004"/>
        </w:numPr>
        <w:pStyle w:val="Compact"/>
      </w:pPr>
      <w:r>
        <w:rPr>
          <w:bCs/>
          <w:b/>
        </w:rPr>
        <w:t xml:space="preserve">Emissions:</w:t>
      </w:r>
      <w:r>
        <w:t xml:space="preserve"> </w:t>
      </w:r>
      <w:r>
        <w:t xml:space="preserve">0.002 tonnes * 1000 km * 0.016142 kg CO2e/tonne-km = 0.032 kgCO2e</w:t>
      </w:r>
    </w:p>
    <w:p>
      <w:pPr>
        <w:numPr>
          <w:ilvl w:val="0"/>
          <w:numId w:val="1003"/>
        </w:numPr>
        <w:pStyle w:val="Compact"/>
      </w:pPr>
      <w:r>
        <w:rPr>
          <w:bCs/>
          <w:b/>
        </w:rPr>
        <w:t xml:space="preserve">Outbound Logistics (Finished Product - Main Transport):</w:t>
      </w:r>
    </w:p>
    <w:p>
      <w:pPr>
        <w:numPr>
          <w:ilvl w:val="1"/>
          <w:numId w:val="1005"/>
        </w:numPr>
        <w:pStyle w:val="Compact"/>
      </w:pPr>
      <w:r>
        <w:rPr>
          <w:bCs/>
          <w:b/>
        </w:rPr>
        <w:t xml:space="preserve">Transport Distance (puzrjlstku):</w:t>
      </w:r>
      <w:r>
        <w:t xml:space="preserve"> </w:t>
      </w:r>
      <w:r>
        <w:t xml:space="preserve">5000 km.</w:t>
      </w:r>
    </w:p>
    <w:p>
      <w:pPr>
        <w:numPr>
          <w:ilvl w:val="1"/>
          <w:numId w:val="1005"/>
        </w:numPr>
        <w:pStyle w:val="Compact"/>
      </w:pPr>
      <w:r>
        <w:rPr>
          <w:bCs/>
          <w:b/>
        </w:rPr>
        <w:t xml:space="preserve">Transport Mode (Select Mode):</w:t>
      </w:r>
      <w:r>
        <w:t xml:space="preserve"> </w:t>
      </w:r>
      <w:r>
        <w:t xml:space="preserve">Ocean Freight.</w:t>
      </w:r>
    </w:p>
    <w:p>
      <w:pPr>
        <w:numPr>
          <w:ilvl w:val="1"/>
          <w:numId w:val="1005"/>
        </w:numPr>
        <w:pStyle w:val="Compact"/>
      </w:pPr>
      <w:r>
        <w:rPr>
          <w:bCs/>
          <w:b/>
        </w:rPr>
        <w:t xml:space="preserve">Ocean Freight Emission Factor:</w:t>
      </w:r>
      <w:r>
        <w:t xml:space="preserve"> </w:t>
      </w:r>
      <w:r>
        <w:t xml:space="preserve">0.016142 kg CO2e/tonne-km.</w:t>
      </w:r>
    </w:p>
    <w:p>
      <w:pPr>
        <w:numPr>
          <w:ilvl w:val="1"/>
          <w:numId w:val="1005"/>
        </w:numPr>
        <w:pStyle w:val="Compact"/>
      </w:pPr>
      <w:r>
        <w:rPr>
          <w:bCs/>
          <w:b/>
        </w:rPr>
        <w:t xml:space="preserve">Emissions:</w:t>
      </w:r>
      <w:r>
        <w:t xml:space="preserve"> </w:t>
      </w:r>
      <w:r>
        <w:t xml:space="preserve">0.002 tonnes * 5000 km * 0.016142 kg CO2e/tonne-km = 0.161 kgCO2e</w:t>
      </w:r>
    </w:p>
    <w:p>
      <w:pPr>
        <w:numPr>
          <w:ilvl w:val="0"/>
          <w:numId w:val="1003"/>
        </w:numPr>
        <w:pStyle w:val="Compact"/>
      </w:pPr>
      <w:r>
        <w:rPr>
          <w:bCs/>
          <w:b/>
        </w:rPr>
        <w:t xml:space="preserve">Outbound Logistics (Finished Product - Last-Mile Delivery):</w:t>
      </w:r>
    </w:p>
    <w:p>
      <w:pPr>
        <w:numPr>
          <w:ilvl w:val="1"/>
          <w:numId w:val="1006"/>
        </w:numPr>
        <w:pStyle w:val="Compact"/>
      </w:pPr>
      <w:r>
        <w:rPr>
          <w:bCs/>
          <w:b/>
        </w:rPr>
        <w:t xml:space="preserve">Transport Distance (puzrjlstku):</w:t>
      </w:r>
      <w:r>
        <w:t xml:space="preserve"> </w:t>
      </w:r>
      <w:r>
        <w:t xml:space="preserve">100 km.</w:t>
      </w:r>
    </w:p>
    <w:p>
      <w:pPr>
        <w:numPr>
          <w:ilvl w:val="1"/>
          <w:numId w:val="1006"/>
        </w:numPr>
        <w:pStyle w:val="Compact"/>
      </w:pPr>
      <w:r>
        <w:rPr>
          <w:bCs/>
          <w:b/>
        </w:rPr>
        <w:t xml:space="preserve">Last-Mile Delivery Channel (Delivery Type):</w:t>
      </w:r>
      <w:r>
        <w:t xml:space="preserve"> </w:t>
      </w:r>
      <w:r>
        <w:t xml:space="preserve">Road Freight (Van).</w:t>
      </w:r>
    </w:p>
    <w:p>
      <w:pPr>
        <w:numPr>
          <w:ilvl w:val="1"/>
          <w:numId w:val="1006"/>
        </w:numPr>
        <w:pStyle w:val="Compact"/>
      </w:pPr>
      <w:r>
        <w:rPr>
          <w:bCs/>
          <w:b/>
        </w:rPr>
        <w:t xml:space="preserve">Road Freight (Van) Emission Factor:</w:t>
      </w:r>
      <w:r>
        <w:t xml:space="preserve"> </w:t>
      </w:r>
      <w:r>
        <w:t xml:space="preserve">0.1 kg CO2e/tonne-km (illustrative for smaller road transport).</w:t>
      </w:r>
    </w:p>
    <w:p>
      <w:pPr>
        <w:numPr>
          <w:ilvl w:val="1"/>
          <w:numId w:val="1006"/>
        </w:numPr>
        <w:pStyle w:val="Compact"/>
      </w:pPr>
      <w:r>
        <w:rPr>
          <w:bCs/>
          <w:b/>
        </w:rPr>
        <w:t xml:space="preserve">Emissions:</w:t>
      </w:r>
      <w:r>
        <w:t xml:space="preserve"> </w:t>
      </w:r>
      <w:r>
        <w:t xml:space="preserve">0.002 tonnes * 100 km * 0.1 kg CO2e/tonne-km = 0.020 kgCO2e</w:t>
      </w:r>
    </w:p>
    <w:p>
      <w:pPr>
        <w:pStyle w:val="FirstParagraph"/>
      </w:pPr>
      <w:r>
        <w:rPr>
          <w:bCs/>
          <w:b/>
        </w:rPr>
        <w:t xml:space="preserve">Total Transport Emissions: 0.213 kgCO2e</w:t>
      </w:r>
    </w:p>
    <w:bookmarkEnd w:id="26"/>
    <w:bookmarkStart w:id="27" w:name="X521eefe6db95288bb174035ab3cfe74c7df85e6"/>
    <w:p>
      <w:pPr>
        <w:pStyle w:val="Heading3"/>
      </w:pPr>
      <w:r>
        <w:t xml:space="preserve">Use Phase (GHG Protocol Scope 3, Category 11: Use of Sold Products)</w:t>
      </w:r>
    </w:p>
    <w:p>
      <w:pPr>
        <w:pStyle w:val="FirstParagraph"/>
      </w:pPr>
      <w:r>
        <w:t xml:space="preserve">This stage accounts for the emissions generated during the typical operational life of nqixhghlnn.</w:t>
      </w:r>
    </w:p>
    <w:p>
      <w:pPr>
        <w:numPr>
          <w:ilvl w:val="0"/>
          <w:numId w:val="1007"/>
        </w:numPr>
        <w:pStyle w:val="Compact"/>
      </w:pPr>
      <w:r>
        <w:rPr>
          <w:bCs/>
          <w:b/>
        </w:rPr>
        <w:t xml:space="preserve">Product Lifespan (ywwnpmvhgf):</w:t>
      </w:r>
      <w:r>
        <w:t xml:space="preserve"> </w:t>
      </w:r>
      <w:r>
        <w:t xml:space="preserve">5 years.</w:t>
      </w:r>
    </w:p>
    <w:p>
      <w:pPr>
        <w:numPr>
          <w:ilvl w:val="0"/>
          <w:numId w:val="1007"/>
        </w:numPr>
        <w:pStyle w:val="Compact"/>
      </w:pPr>
      <w:r>
        <w:rPr>
          <w:bCs/>
          <w:b/>
        </w:rPr>
        <w:t xml:space="preserve">Energy Consumption in Use (ogivtlfdqp):</w:t>
      </w:r>
      <w:r>
        <w:t xml:space="preserve"> </w:t>
      </w:r>
      <w:r>
        <w:t xml:space="preserve">20 kWh/year.</w:t>
      </w:r>
    </w:p>
    <w:p>
      <w:pPr>
        <w:numPr>
          <w:ilvl w:val="0"/>
          <w:numId w:val="1007"/>
        </w:numPr>
        <w:pStyle w:val="Compact"/>
      </w:pPr>
      <w:r>
        <w:rPr>
          <w:bCs/>
          <w:b/>
        </w:rPr>
        <w:t xml:space="preserve">Total Energy Consumption over Lifespan:</w:t>
      </w:r>
      <w:r>
        <w:t xml:space="preserve"> </w:t>
      </w:r>
      <w:r>
        <w:t xml:space="preserve">20 kWh/year * 5 years = 100 kWh.</w:t>
      </w:r>
    </w:p>
    <w:p>
      <w:pPr>
        <w:numPr>
          <w:ilvl w:val="0"/>
          <w:numId w:val="1007"/>
        </w:numPr>
        <w:pStyle w:val="Compact"/>
      </w:pPr>
      <w:r>
        <w:rPr>
          <w:bCs/>
          <w:b/>
        </w:rPr>
        <w:t xml:space="preserve">Electricity Grid Emission Factor (Europe - assumed region of use):</w:t>
      </w:r>
      <w:r>
        <w:t xml:space="preserve"> </w:t>
      </w:r>
      <w:r>
        <w:t xml:space="preserve">0.25 kg CO2e/kWh (illustrative average).</w:t>
      </w:r>
    </w:p>
    <w:p>
      <w:pPr>
        <w:pStyle w:val="FirstParagraph"/>
      </w:pPr>
      <w:r>
        <w:rPr>
          <w:bCs/>
          <w:b/>
        </w:rPr>
        <w:t xml:space="preserve">Total Use Phase Emissions: 25.0 kgCO2e</w:t>
      </w:r>
    </w:p>
    <w:bookmarkEnd w:id="27"/>
    <w:bookmarkStart w:id="28" w:name="Xf3c142645b9d1ebe9fc338a851a9214acb5a328"/>
    <w:p>
      <w:pPr>
        <w:pStyle w:val="Heading3"/>
      </w:pPr>
      <w:r>
        <w:t xml:space="preserve">End-of-Life (EoL) Phase (GHG Protocol Scope 3, Category 12: End-of-Life Treatment of Sold Products)</w:t>
      </w:r>
    </w:p>
    <w:p>
      <w:pPr>
        <w:pStyle w:val="FirstParagraph"/>
      </w:pPr>
      <w:r>
        <w:t xml:space="preserve">This stage considers emissions and potential avoided emissions from the disposal, recycling, or recovery of nqixhghlnn.</w:t>
      </w:r>
    </w:p>
    <w:p>
      <w:pPr>
        <w:numPr>
          <w:ilvl w:val="0"/>
          <w:numId w:val="1008"/>
        </w:numPr>
        <w:pStyle w:val="Compact"/>
      </w:pPr>
      <w:r>
        <w:rPr>
          <w:bCs/>
          <w:b/>
        </w:rPr>
        <w:t xml:space="preserve">Product Weight:</w:t>
      </w:r>
      <w:r>
        <w:t xml:space="preserve"> </w:t>
      </w:r>
      <w:r>
        <w:t xml:space="preserve">2 kg.</w:t>
      </w:r>
    </w:p>
    <w:p>
      <w:pPr>
        <w:numPr>
          <w:ilvl w:val="0"/>
          <w:numId w:val="1008"/>
        </w:numPr>
        <w:pStyle w:val="Compact"/>
      </w:pPr>
      <w:r>
        <w:rPr>
          <w:bCs/>
          <w:b/>
        </w:rPr>
        <w:t xml:space="preserve">Recyclability Percentage (rqnjsrnmwu):</w:t>
      </w:r>
      <w:r>
        <w:t xml:space="preserve"> </w:t>
      </w:r>
      <w:r>
        <w:t xml:space="preserve">80%.</w:t>
      </w:r>
    </w:p>
    <w:p>
      <w:pPr>
        <w:numPr>
          <w:ilvl w:val="0"/>
          <w:numId w:val="1008"/>
        </w:numPr>
        <w:pStyle w:val="Compact"/>
      </w:pPr>
      <w:r>
        <w:rPr>
          <w:bCs/>
          <w:b/>
        </w:rPr>
        <w:t xml:space="preserve">Circular/Take-back Programs (mqwrglfitx):</w:t>
      </w:r>
      <w:r>
        <w:t xml:space="preserve"> </w:t>
      </w:r>
      <w:r>
        <w:t xml:space="preserve">Robust take-back program with material recovery.</w:t>
      </w:r>
    </w:p>
    <w:p>
      <w:pPr>
        <w:numPr>
          <w:ilvl w:val="0"/>
          <w:numId w:val="1008"/>
        </w:numPr>
        <w:pStyle w:val="Compact"/>
      </w:pPr>
      <w:r>
        <w:rPr>
          <w:bCs/>
          <w:b/>
        </w:rPr>
        <w:t xml:space="preserve">Weight Recycled:</w:t>
      </w:r>
      <w:r>
        <w:t xml:space="preserve"> </w:t>
      </w:r>
      <w:r>
        <w:t xml:space="preserve">2 kg * 0.80 = 1.6 kg.</w:t>
      </w:r>
    </w:p>
    <w:p>
      <w:pPr>
        <w:numPr>
          <w:ilvl w:val="0"/>
          <w:numId w:val="1008"/>
        </w:numPr>
        <w:pStyle w:val="Compact"/>
      </w:pPr>
      <w:r>
        <w:rPr>
          <w:bCs/>
          <w:b/>
        </w:rPr>
        <w:t xml:space="preserve">Weight for Disposal (Landfill/Incineration):</w:t>
      </w:r>
      <w:r>
        <w:t xml:space="preserve"> </w:t>
      </w:r>
      <w:r>
        <w:t xml:space="preserve">2 kg * (1 - 0.80) = 0.4 kg.</w:t>
      </w:r>
    </w:p>
    <w:p>
      <w:pPr>
        <w:numPr>
          <w:ilvl w:val="0"/>
          <w:numId w:val="1008"/>
        </w:numPr>
        <w:pStyle w:val="Compact"/>
      </w:pPr>
      <w:r>
        <w:rPr>
          <w:bCs/>
          <w:b/>
        </w:rPr>
        <w:t xml:space="preserve">Assumed Recycling Credit:</w:t>
      </w:r>
      <w:r>
        <w:t xml:space="preserve"> </w:t>
      </w:r>
      <w:r>
        <w:t xml:space="preserve">-0.5 kg CO2e/kg (reflecting avoided virgin production).</w:t>
      </w:r>
    </w:p>
    <w:p>
      <w:pPr>
        <w:numPr>
          <w:ilvl w:val="0"/>
          <w:numId w:val="1008"/>
        </w:numPr>
        <w:pStyle w:val="Compact"/>
      </w:pPr>
      <w:r>
        <w:rPr>
          <w:bCs/>
          <w:b/>
        </w:rPr>
        <w:t xml:space="preserve">Assumed Disposal Emission Factor:</w:t>
      </w:r>
      <w:r>
        <w:t xml:space="preserve"> </w:t>
      </w:r>
      <w:r>
        <w:t xml:space="preserve">1.0 kg CO2e/kg (for landfill/incineration).</w:t>
      </w:r>
    </w:p>
    <w:p>
      <w:pPr>
        <w:pStyle w:val="FirstParagraph"/>
      </w:pPr>
      <w:r>
        <w:rPr>
          <w:bCs/>
          <w:b/>
        </w:rPr>
        <w:t xml:space="preserve">Calculations:</w:t>
      </w:r>
    </w:p>
    <w:p>
      <w:pPr>
        <w:numPr>
          <w:ilvl w:val="0"/>
          <w:numId w:val="1009"/>
        </w:numPr>
        <w:pStyle w:val="Compact"/>
      </w:pPr>
      <w:r>
        <w:t xml:space="preserve">Emissions from Recycling: 1.6 kg * (-0.5 kg CO2e/kg) = -0.8 kgCO2e (credit)</w:t>
      </w:r>
    </w:p>
    <w:p>
      <w:pPr>
        <w:numPr>
          <w:ilvl w:val="0"/>
          <w:numId w:val="1009"/>
        </w:numPr>
        <w:pStyle w:val="Compact"/>
      </w:pPr>
      <w:r>
        <w:t xml:space="preserve">Emissions from Disposal: 0.4 kg * 1.0 kg CO2e/kg = 0.4 kgCO2e</w:t>
      </w:r>
    </w:p>
    <w:p>
      <w:pPr>
        <w:pStyle w:val="FirstParagraph"/>
      </w:pPr>
      <w:r>
        <w:rPr>
          <w:bCs/>
          <w:b/>
        </w:rPr>
        <w:t xml:space="preserve">Total End-of-Life Emissions: -0.4 kgCO2e (Net credit)</w:t>
      </w:r>
    </w:p>
    <w:p>
      <w:r>
        <w:pict>
          <v:rect style="width:0;height:1.5pt" o:hralign="center" o:hrstd="t" o:hr="t"/>
        </w:pict>
      </w:r>
    </w:p>
    <w:bookmarkEnd w:id="28"/>
    <w:bookmarkEnd w:id="29"/>
    <w:bookmarkStart w:id="34" w:name="X439a6e6dcb43c636bf515ffaf3f59bce0bd6490"/>
    <w:p>
      <w:pPr>
        <w:pStyle w:val="Heading2"/>
      </w:pPr>
      <w:r>
        <w:t xml:space="preserve">4. Emission Calculation (Activity * Emission Factor = CO2e)</w:t>
      </w:r>
    </w:p>
    <w:p>
      <w:pPr>
        <w:pStyle w:val="FirstParagraph"/>
      </w:pPr>
      <w:r>
        <w:t xml:space="preserve">Emissions are calculated by multiplying activity data (e.g., kg of material, kWh of electricity, tonne-km of transport) by relevant emission factors. The total PCF for nqixhghlnn is the sum of emissions across all life cycle stages, categorized by GHG Protocol scopes.</w:t>
      </w:r>
    </w:p>
    <w:bookmarkStart w:id="30" w:name="X89fadd0f146ec79dbf9a20214f29bbb77231a65"/>
    <w:p>
      <w:pPr>
        <w:pStyle w:val="Heading3"/>
      </w:pPr>
      <w:r>
        <w:t xml:space="preserve">Summary of Product Carbon Footprint (PCF) for nqixhghlnn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 per unit)</w:t>
            </w:r>
          </w:p>
        </w:tc>
        <w:tc>
          <w:tcPr/>
          <w:p>
            <w:pPr>
              <w:pStyle w:val="Compact"/>
              <w:jc w:val="left"/>
            </w:pPr>
            <w:r>
              <w:t xml:space="preserve">Notes</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15.75</w:t>
            </w:r>
          </w:p>
        </w:tc>
        <w:tc>
          <w:tcPr/>
          <w:p>
            <w:pPr>
              <w:pStyle w:val="Compact"/>
              <w:jc w:val="left"/>
            </w:pPr>
            <w:r>
              <w:t xml:space="preserve">Based on provided BOM data (ijprxovj).</w:t>
            </w:r>
          </w:p>
        </w:tc>
      </w:tr>
      <w:tr>
        <w:tc>
          <w:tcPr/>
          <w:p>
            <w:pPr>
              <w:pStyle w:val="Compact"/>
              <w:jc w:val="left"/>
            </w:pPr>
            <w:r>
              <w:t xml:space="preserve">Production (Manufacturing)</w:t>
            </w:r>
          </w:p>
        </w:tc>
        <w:tc>
          <w:tcPr/>
          <w:p>
            <w:pPr>
              <w:pStyle w:val="Compact"/>
              <w:jc w:val="left"/>
            </w:pPr>
            <w:r>
              <w:t xml:space="preserve">Scope 2</w:t>
            </w:r>
          </w:p>
        </w:tc>
        <w:tc>
          <w:tcPr/>
          <w:p>
            <w:pPr>
              <w:pStyle w:val="Compact"/>
              <w:jc w:val="left"/>
            </w:pPr>
            <w:r>
              <w:t xml:space="preserve">3.34</w:t>
            </w:r>
          </w:p>
        </w:tc>
        <w:tc>
          <w:tcPr/>
          <w:p>
            <w:pPr>
              <w:pStyle w:val="Compact"/>
              <w:jc w:val="left"/>
            </w:pPr>
            <w:r>
              <w:t xml:space="preserve">Purchased electricity for manufacturing in China.</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0.213</w:t>
            </w:r>
          </w:p>
        </w:tc>
        <w:tc>
          <w:tcPr/>
          <w:p>
            <w:pPr>
              <w:pStyle w:val="Compact"/>
              <w:jc w:val="left"/>
            </w:pPr>
            <w:r>
              <w:t xml:space="preserve">Inbound (Ocean Freight) + Outbound (Ocean Freight &amp; Road Freight).</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w:t>
            </w:r>
          </w:p>
        </w:tc>
        <w:tc>
          <w:tcPr/>
          <w:p>
            <w:pPr>
              <w:pStyle w:val="Compact"/>
              <w:jc w:val="left"/>
            </w:pPr>
            <w:r>
              <w:t xml:space="preserve">Electricity consumption over product lifespan.</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-0.40</w:t>
            </w:r>
          </w:p>
        </w:tc>
        <w:tc>
          <w:tcPr/>
          <w:p>
            <w:pPr>
              <w:pStyle w:val="Compact"/>
              <w:jc w:val="left"/>
            </w:pPr>
            <w:r>
              <w:t xml:space="preserve">Net emissions from recycling and disposal.</w:t>
            </w:r>
          </w:p>
        </w:tc>
      </w:tr>
      <w:tr>
        <w:tc>
          <w:tcPr>
            <w:gridSpan w:val="2"/>
          </w:tcPr>
          <w:p>
            <w:pPr>
              <w:pStyle w:val="Compact"/>
              <w:jc w:val="left"/>
            </w:pPr>
            <w:r>
              <w:t xml:space="preserve">Total Product Carbon Footprint (PCF)</w:t>
            </w:r>
          </w:p>
        </w:tc>
        <w:tc>
          <w:tcPr/>
          <w:p>
            <w:pPr>
              <w:pStyle w:val="Compact"/>
              <w:jc w:val="left"/>
            </w:pPr>
            <w:r>
              <w:t xml:space="preserve">43.903</w:t>
            </w:r>
          </w:p>
        </w:tc>
        <w:tc>
          <w:tcPr/>
          <w:p>
            <w:pPr>
              <w:pStyle w:val="Compact"/>
            </w:pPr>
          </w:p>
        </w:tc>
      </w:tr>
    </w:tbl>
    <w:p>
      <w:pPr>
        <w:pStyle w:val="BodyText"/>
      </w:pPr>
      <w:r>
        <w:rPr>
          <w:bCs/>
          <w:b/>
        </w:rPr>
        <w:t xml:space="preserve">Total PCF for nqixhghlnn: 43.903 kg CO2e per unit.</w:t>
      </w:r>
    </w:p>
    <w:bookmarkEnd w:id="30"/>
    <w:bookmarkStart w:id="31" w:name="adherence-to-ghg-protocol-scopes"/>
    <w:p>
      <w:pPr>
        <w:pStyle w:val="Heading3"/>
      </w:pPr>
      <w:r>
        <w:t xml:space="preserve">Adherence to GHG Protocol Scopes:</w:t>
      </w:r>
    </w:p>
    <w:p>
      <w:pPr>
        <w:numPr>
          <w:ilvl w:val="0"/>
          <w:numId w:val="1010"/>
        </w:numPr>
        <w:pStyle w:val="Compact"/>
      </w:pPr>
      <w:r>
        <w:rPr>
          <w:bCs/>
          <w:b/>
        </w:rPr>
        <w:t xml:space="preserve">Scope 1 (Direct Emissions):</w:t>
      </w:r>
      <w:r>
        <w:t xml:space="preserve"> </w:t>
      </w:r>
      <w:r>
        <w:t xml:space="preserve">For this PCF, direct emissions from owned or controlled sources at the factory are considered negligible or integrated within the upstream material/energy factors, as no direct fuel combustion data for the factory was provided.</w:t>
      </w:r>
    </w:p>
    <w:p>
      <w:pPr>
        <w:numPr>
          <w:ilvl w:val="0"/>
          <w:numId w:val="1010"/>
        </w:numPr>
        <w:pStyle w:val="Compact"/>
      </w:pPr>
      <w:r>
        <w:rPr>
          <w:bCs/>
          <w:b/>
        </w:rPr>
        <w:t xml:space="preserve">Scope 2 (Indirect Emissions from Purchased Energy):</w:t>
      </w:r>
      <w:r>
        <w:t xml:space="preserve"> </w:t>
      </w:r>
      <w:r>
        <w:t xml:space="preserve">Emissions from purchased electricity for production (3.34 kgCO2e) are accounted for under Scope 2.</w:t>
      </w:r>
    </w:p>
    <w:p>
      <w:pPr>
        <w:numPr>
          <w:ilvl w:val="0"/>
          <w:numId w:val="1010"/>
        </w:numPr>
        <w:pStyle w:val="Compact"/>
      </w:pPr>
      <w:r>
        <w:rPr>
          <w:bCs/>
          <w:b/>
        </w:rPr>
        <w:t xml:space="preserve">Scope 3 (Value Chain Emissions):</w:t>
      </w:r>
      <w:r>
        <w:t xml:space="preserve"> </w:t>
      </w:r>
      <w:r>
        <w:t xml:space="preserve">The majority of the PCF falls under Scope 3, encompassing purchased goods and services (materials), transportation, use phase, and end-of-life.</w:t>
      </w:r>
    </w:p>
    <w:p>
      <w:pPr>
        <w:numPr>
          <w:ilvl w:val="1"/>
          <w:numId w:val="1011"/>
        </w:numPr>
        <w:pStyle w:val="Compact"/>
      </w:pPr>
      <w:r>
        <w:t xml:space="preserve">Total Scope 3 Emissions = 15.75 (Materials) + 0.213 (Transport) + 25.00 (Use) - 0.40 (EoL) = 40.563 kgCO2e.</w:t>
      </w:r>
    </w:p>
    <w:p>
      <w:pPr>
        <w:numPr>
          <w:ilvl w:val="1"/>
          <w:numId w:val="1011"/>
        </w:numPr>
        <w:pStyle w:val="Compact"/>
      </w:pPr>
      <w:r>
        <w:t xml:space="preserve">Scope 3 Emissions constitute approximately 92.4% of the total PCF, demonstrating significant coverage.</w:t>
      </w:r>
    </w:p>
    <w:bookmarkEnd w:id="31"/>
    <w:bookmarkStart w:id="32" w:name="lsr-update-application"/>
    <w:p>
      <w:pPr>
        <w:pStyle w:val="Heading3"/>
      </w:pPr>
      <w:r>
        <w:t xml:space="preserve">2026 LSR Update Application:</w:t>
      </w:r>
    </w:p>
    <w:p>
      <w:pPr>
        <w:pStyle w:val="FirstParagraph"/>
      </w:pPr>
      <w:r>
        <w:t xml:space="preserve">The 2026 Land Sector and Removals (LSR) Standard provides specific guidance for accounting for land-related emissions and removals, effective January 1, 2027. While nqixhghlnn\'s direct components do not involve significant land-use change or agricultural activities, for future comprehensive Scope 3 reporting, especially for upstream purchased goods and services, hlpmzpdutk should assess if any raw materials (e.g., bio-based plastics, specific agricultural products) in its broader portfolio require detailed LSR application. This would ensure complete transparency and traceability for land-based impacts.</w:t>
      </w:r>
    </w:p>
    <w:bookmarkEnd w:id="32"/>
    <w:bookmarkStart w:id="33" w:name="scope-3-compliance-95-coverage"/>
    <w:p>
      <w:pPr>
        <w:pStyle w:val="Heading3"/>
      </w:pPr>
      <w:r>
        <w:t xml:space="preserve">Scope 3 Compliance (95% Coverage):</w:t>
      </w:r>
    </w:p>
    <w:p>
      <w:pPr>
        <w:pStyle w:val="FirstParagraph"/>
      </w:pPr>
      <w:r>
        <w:t xml:space="preserve">The GHG Protocol\'s proposed 2026 revisions emphasize a mandatory 95% coverage for Scope 3 emissions to enhance completeness, consistency, and transparency. In this analysis, Scope 3 emissions account for approximately 92.4% of the total PCF, which is close to the 95% target. Further refinement in data collection, especially for more granular upstream transportation and minor components, would help achieve and surpass this threshold. It is crucial to continue supplier engagement to collect primary data for all significant Scope 3 categories to meet these evolving requirements.</w:t>
      </w:r>
    </w:p>
    <w:p>
      <w:r>
        <w:pict>
          <v:rect style="width:0;height:1.5pt" o:hralign="center" o:hrstd="t" o:hr="t"/>
        </w:pict>
      </w:r>
    </w:p>
    <w:bookmarkEnd w:id="33"/>
    <w:bookmarkEnd w:id="34"/>
    <w:bookmarkStart w:id="39" w:name="review-report"/>
    <w:p>
      <w:pPr>
        <w:pStyle w:val="Heading2"/>
      </w:pPr>
      <w:r>
        <w:t xml:space="preserve">5. Review &amp; Report</w:t>
      </w:r>
    </w:p>
    <w:p>
      <w:pPr>
        <w:pStyle w:val="FirstParagraph"/>
      </w:pPr>
      <w:r>
        <w:t xml:space="preserve">The PCF analysis reveals key insights and potential areas for improvement for nqixhghlnn.</w:t>
      </w:r>
    </w:p>
    <w:bookmarkStart w:id="35" w:name="emission-hotspots"/>
    <w:p>
      <w:pPr>
        <w:pStyle w:val="Heading3"/>
      </w:pPr>
      <w:r>
        <w:t xml:space="preserve">Emission Hotspots:</w:t>
      </w:r>
    </w:p>
    <w:p>
      <w:pPr>
        <w:numPr>
          <w:ilvl w:val="0"/>
          <w:numId w:val="1012"/>
        </w:numPr>
        <w:pStyle w:val="Compact"/>
      </w:pPr>
      <w:r>
        <w:rPr>
          <w:bCs/>
          <w:b/>
        </w:rPr>
        <w:t xml:space="preserve">Use Phase:</w:t>
      </w:r>
      <w:r>
        <w:t xml:space="preserve"> </w:t>
      </w:r>
      <w:r>
        <w:t xml:space="preserve">With 25.0 kgCO2e, the energy consumption during the product\'s 5-year lifespan is the single largest contributor to its carbon footprint (approximately 57% of total PCF). This highlights the critical importance of product energy efficiency.</w:t>
      </w:r>
    </w:p>
    <w:p>
      <w:pPr>
        <w:numPr>
          <w:ilvl w:val="0"/>
          <w:numId w:val="1012"/>
        </w:numPr>
        <w:pStyle w:val="Compact"/>
      </w:pPr>
      <w:r>
        <w:rPr>
          <w:bCs/>
          <w:b/>
        </w:rPr>
        <w:t xml:space="preserve">Material Acquisition &amp; Pre-processing:</w:t>
      </w:r>
      <w:r>
        <w:t xml:space="preserve"> </w:t>
      </w:r>
      <w:r>
        <w:t xml:space="preserve">Materials contribute 15.75 kgCO2e (approximately 36% of total PCF), with the Lithium Battery (8.0 kgCO2e) and Aluminum Casing (5.0 kgCO2e) being significant contributors.</w:t>
      </w:r>
    </w:p>
    <w:p>
      <w:pPr>
        <w:numPr>
          <w:ilvl w:val="0"/>
          <w:numId w:val="1012"/>
        </w:numPr>
        <w:pStyle w:val="Compact"/>
      </w:pPr>
      <w:r>
        <w:rPr>
          <w:bCs/>
          <w:b/>
        </w:rPr>
        <w:t xml:space="preserve">Production and Transport:</w:t>
      </w:r>
      <w:r>
        <w:t xml:space="preserve"> </w:t>
      </w:r>
      <w:r>
        <w:t xml:space="preserve">These phases contribute a smaller, but still notable, portion of the total footprint.</w:t>
      </w:r>
    </w:p>
    <w:bookmarkEnd w:id="35"/>
    <w:bookmarkStart w:id="36" w:name="reliability-and-data-quality"/>
    <w:p>
      <w:pPr>
        <w:pStyle w:val="Heading3"/>
      </w:pPr>
      <w:r>
        <w:t xml:space="preserve">Reliability and Data Quality:</w:t>
      </w:r>
    </w:p>
    <w:p>
      <w:pPr>
        <w:pStyle w:val="FirstParagraph"/>
      </w:pPr>
      <w:r>
        <w:t xml:space="preserve">The reliability of this PCF is good, as it leverages detailed BOM data and specific operational parameters. However, certain assumptions were made for emission factors and generic transport/EoL scenarios due to the nature of the placeholder data provided. These assumptions, although based on industry averages, introduce an element of uncertainty. For future iterations, collecting more primary data (e.g., supplier-specific emission factors, actual transport distances and modes for all inbound materials, regional electricity mix for all use locations) will further enhance accuracy and reduce uncertainty.</w:t>
      </w:r>
    </w:p>
    <w:bookmarkEnd w:id="36"/>
    <w:bookmarkStart w:id="37" w:name="recommendations-for-carbon-reduction"/>
    <w:p>
      <w:pPr>
        <w:pStyle w:val="Heading3"/>
      </w:pPr>
      <w:r>
        <w:t xml:space="preserve">Recommendations for Carbon Reduction:</w:t>
      </w:r>
    </w:p>
    <w:p>
      <w:pPr>
        <w:numPr>
          <w:ilvl w:val="0"/>
          <w:numId w:val="1013"/>
        </w:numPr>
        <w:pStyle w:val="Compact"/>
      </w:pPr>
      <w:r>
        <w:rPr>
          <w:bCs/>
          <w:b/>
        </w:rPr>
        <w:t xml:space="preserve">Energy Efficiency in Use Phase:</w:t>
      </w:r>
      <w:r>
        <w:t xml:space="preserve"> </w:t>
      </w:r>
      <w:r>
        <w:t xml:space="preserve">Invest in R&amp;D to drastically reduce the energy consumption of nqixhghlnn during its operational life. Explore low-power modes, smart energy management, and longer battery life solutions.</w:t>
      </w:r>
    </w:p>
    <w:p>
      <w:pPr>
        <w:numPr>
          <w:ilvl w:val="0"/>
          <w:numId w:val="1013"/>
        </w:numPr>
        <w:pStyle w:val="Compact"/>
      </w:pPr>
      <w:r>
        <w:rPr>
          <w:bCs/>
          <w:b/>
        </w:rPr>
        <w:t xml:space="preserve">Sustainable Materials Sourcing:</w:t>
      </w:r>
      <w:r>
        <w:t xml:space="preserve"> </w:t>
      </w:r>
      <w:r>
        <w:t xml:space="preserve">Prioritize sourcing lower-carbon alternatives for aluminum and lithium batteries. This could involve increasing recycled content (e.g., secondary aluminum), engaging with suppliers committed to renewable energy in their production, or exploring alternative material compositions.</w:t>
      </w:r>
    </w:p>
    <w:p>
      <w:pPr>
        <w:numPr>
          <w:ilvl w:val="0"/>
          <w:numId w:val="1013"/>
        </w:numPr>
        <w:pStyle w:val="Compact"/>
      </w:pPr>
      <w:r>
        <w:rPr>
          <w:bCs/>
          <w:b/>
        </w:rPr>
        <w:t xml:space="preserve">Circular Economy Integration:</w:t>
      </w:r>
      <w:r>
        <w:t xml:space="preserve"> </w:t>
      </w:r>
      <w:r>
        <w:t xml:space="preserve">Continue to strengthen circular economy initiatives, particularly the "Robust take-back program with material recovery." Focus on maximizing actual recycling rates and exploring reuse or refurbishment models to further increase avoided emissions at end-of-life.</w:t>
      </w:r>
    </w:p>
    <w:p>
      <w:pPr>
        <w:numPr>
          <w:ilvl w:val="0"/>
          <w:numId w:val="1013"/>
        </w:numPr>
        <w:pStyle w:val="Compact"/>
      </w:pPr>
      <w:r>
        <w:rPr>
          <w:bCs/>
          <w:b/>
        </w:rPr>
        <w:t xml:space="preserve">Renewable Energy in Production:</w:t>
      </w:r>
      <w:r>
        <w:t xml:space="preserve"> </w:t>
      </w:r>
      <w:r>
        <w:t xml:space="preserve">Continue to expand the use of renewable energy at production facilities beyond the current 60% to further reduce Scope 2 emissions.</w:t>
      </w:r>
    </w:p>
    <w:p>
      <w:pPr>
        <w:numPr>
          <w:ilvl w:val="0"/>
          <w:numId w:val="1013"/>
        </w:numPr>
        <w:pStyle w:val="Compact"/>
      </w:pPr>
      <w:r>
        <w:rPr>
          <w:bCs/>
          <w:b/>
        </w:rPr>
        <w:t xml:space="preserve">Supply Chain Optimization:</w:t>
      </w:r>
      <w:r>
        <w:t xml:space="preserve"> </w:t>
      </w:r>
      <w:r>
        <w:t xml:space="preserve">Optimize logistics by prioritizing efficient transport modes (e.g., rail over road where feasible in Europe) and consolidating shipments to reduce overall transport distances and emissions.</w:t>
      </w:r>
    </w:p>
    <w:p>
      <w:r>
        <w:pict>
          <v:rect style="width:0;height:1.5pt" o:hralign="center" o:hrstd="t" o:hr="t"/>
        </w:pict>
      </w:r>
    </w:p>
    <w:bookmarkEnd w:id="37"/>
    <w:bookmarkStart w:id="38" w:name="conclusion"/>
    <w:p>
      <w:pPr>
        <w:pStyle w:val="Heading3"/>
      </w:pPr>
      <w:r>
        <w:t xml:space="preserve">Conclusion</w:t>
      </w:r>
    </w:p>
    <w:p>
      <w:pPr>
        <w:pStyle w:val="FirstParagraph"/>
      </w:pPr>
      <w:r>
        <w:t xml:space="preserve">This Product Carbon Footprint report provides hlpmzpdutk with a comprehensive assessment of nqixhghlnn\'s environmental impact, identifying key emission hotspots and demonstrating adherence to the GHG Protocol. By focusing on reducing emissions in the use phase and raw material sourcing, hlpmzpdutk can significantly lower the overall carbon footprint of nqixhghlnn and strengthen its position as a leader in sustainable product development. Continuous monitoring, improved data collection, and proactive engagement across the value chain will be essential for ongoing decarbonization efforts and meeting evolving regulatory requirements.</w:t>
      </w:r>
    </w:p>
    <w:p>
      <w:pPr>
        <w:pStyle w:val="BodyText"/>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nqixhghlnn</dc:title>
  <dc:creator/>
  <dc:description>High-detail Product Carbon Footprint (PCF) analysis for product nqixhghlnn by hlpmzpdutk, following GHG Protocol standards and 2026 updates.</dc:description>
  <dc:language>en</dc:language>
  <cp:keywords/>
  <dcterms:created xsi:type="dcterms:W3CDTF">2026-07-15T18:51:04Z</dcterms:created>
  <dcterms:modified xsi:type="dcterms:W3CDTF">2026-07-15T18:51:04Z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