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npxpihgpnd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npxpihgpnd</w:t>
      </w:r>
    </w:p>
    <w:p>
      <w:pPr>
        <w:pStyle w:val="BodyText"/>
      </w:pPr>
      <w:r>
        <w:rPr>
          <w:bCs/>
          <w:b/>
        </w:rPr>
        <w:t xml:space="preserve">Company Name:</w:t>
      </w:r>
      <w:r>
        <w:t xml:space="preserve"> </w:t>
      </w:r>
      <w:r>
        <w:t xml:space="preserve">qmoupdgkwy</w:t>
      </w:r>
    </w:p>
    <w:p>
      <w:pPr>
        <w:pStyle w:val="BodyText"/>
      </w:pPr>
      <w:r>
        <w:rPr>
          <w:bCs/>
          <w:b/>
        </w:rPr>
        <w:t xml:space="preserve">Senior Sustainability Consultant:</w:t>
      </w:r>
      <w:r>
        <w:t xml:space="preserve"> </w:t>
      </w:r>
      <w:r>
        <w:t xml:space="preserve">ddludditli</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actual emissions may vary based on specific operational details and evolving methodologies.</w:t>
      </w:r>
    </w:p>
    <w:bookmarkEnd w:id="20"/>
    <w:bookmarkStart w:id="50" w:name="X8ff2eecbe663f0748792976ac63b808c2646dc6"/>
    <w:p>
      <w:pPr>
        <w:pStyle w:val="Heading1"/>
      </w:pPr>
      <w:r>
        <w:t xml:space="preserve">Product Carbon Footprint Analysis Report for npxpihgpnd</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\'npxpihgpnd\', manufactured by \'qmoupdgkwy\'. Conducted by Senior Sustainability Consultant \'ddludditli\', the analysis strictly adheres to the GHG Protocol standards, incorporating the latest 2026 Land Sector and Removals (LSR) Update and ensuring robust Scope 3 compliance. The objective is to quantify the greenhouse gas (GHG) emissions associated with the product across its lifecycle, from raw material acquisition to end-of-life, to identify key emission hotspots and inform strategic decarbonization efforts.</w:t>
      </w:r>
    </w:p>
    <w:bookmarkEnd w:id="21"/>
    <w:bookmarkStart w:id="26" w:name="introduction-and-scope-definition"/>
    <w:p>
      <w:pPr>
        <w:pStyle w:val="Heading2"/>
      </w:pPr>
      <w:r>
        <w:t xml:space="preserve">1. Introduction and Scope Definition</w:t>
      </w:r>
    </w:p>
    <w:p>
      <w:pPr>
        <w:pStyle w:val="FirstParagraph"/>
      </w:pPr>
      <w:r>
        <w:t xml:space="preserve">This Product Carbon Footprint (PCF) study for \'npxpihgpnd\' establishes a comprehensive understanding of its environmental impact in terms of greenhouse gas emissions. The analysis follows the stringent guidelines of the GHG Protocol, an internationally recognized accounting standard for GHG emissions.</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npxpihgpnd</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4"/>
    <w:bookmarkStart w:id="25" w:name="allocation"/>
    <w:p>
      <w:pPr>
        <w:pStyle w:val="Heading3"/>
      </w:pPr>
      <w:r>
        <w:t xml:space="preserve">1.4 Allocation</w:t>
      </w:r>
    </w:p>
    <w:p>
      <w:pPr>
        <w:pStyle w:val="FirstParagraph"/>
      </w:pPr>
      <w:r>
        <w:t xml:space="preserve">For co-products or multi-functional processes, emissions are allocated based on physical parameters (e.g., mass, energy content) or economic value, depending on the specific process and data availability. For this report, direct attribution is assumed where possible, and economic allocation is prioritized for shared processes in the absence of more specific data.</w:t>
      </w:r>
    </w:p>
    <w:bookmarkEnd w:id="25"/>
    <w:bookmarkEnd w:id="26"/>
    <w:bookmarkStart w:id="27" w:name="lifecycle-mapping-lci-inventory-stages"/>
    <w:p>
      <w:pPr>
        <w:pStyle w:val="Heading2"/>
      </w:pPr>
      <w:r>
        <w:t xml:space="preserve">2. Lifecycle Mapping (LCI Inventory Stages)</w:t>
      </w:r>
    </w:p>
    <w:p>
      <w:pPr>
        <w:pStyle w:val="FirstParagraph"/>
      </w:pPr>
      <w:r>
        <w:t xml:space="preserve">The lifecycle of \'npxpihgpnd\' is mapped across key stages to ensure a holistic assessment of its carbon footprint. The stages include:</w:t>
      </w:r>
    </w:p>
    <w:p>
      <w:pPr>
        <w:numPr>
          <w:ilvl w:val="0"/>
          <w:numId w:val="1004"/>
        </w:numPr>
        <w:pStyle w:val="Compact"/>
      </w:pPr>
      <w:r>
        <w:rPr>
          <w:bCs/>
          <w:b/>
        </w:rPr>
        <w:t xml:space="preserve">Raw Material Acquisition &amp; Pre-processing:</w:t>
      </w:r>
      <w:r>
        <w:t xml:space="preserve"> </w:t>
      </w:r>
      <w:r>
        <w:t xml:space="preserve">Extraction, processing, and refining of all raw materials.</w:t>
      </w:r>
    </w:p>
    <w:p>
      <w:pPr>
        <w:numPr>
          <w:ilvl w:val="0"/>
          <w:numId w:val="1004"/>
        </w:numPr>
        <w:pStyle w:val="Compact"/>
      </w:pPr>
      <w:r>
        <w:rPr>
          <w:bCs/>
          <w:b/>
        </w:rPr>
        <w:t xml:space="preserve">Manufacturing:</w:t>
      </w:r>
      <w:r>
        <w:t xml:space="preserve"> </w:t>
      </w:r>
      <w:r>
        <w:t xml:space="preserve">Production processes at the factory, including energy consumption and direct emissions.</w:t>
      </w:r>
    </w:p>
    <w:p>
      <w:pPr>
        <w:numPr>
          <w:ilvl w:val="0"/>
          <w:numId w:val="1004"/>
        </w:numPr>
        <w:pStyle w:val="Compact"/>
      </w:pPr>
      <w:r>
        <w:rPr>
          <w:bCs/>
          <w:b/>
        </w:rPr>
        <w:t xml:space="preserve">Transportation &amp; Distribution (Upstream):</w:t>
      </w:r>
      <w:r>
        <w:t xml:space="preserve"> </w:t>
      </w:r>
      <w:r>
        <w:t xml:space="preserve">Logistics of raw materials and components to the manufacturing site.</w:t>
      </w:r>
    </w:p>
    <w:p>
      <w:pPr>
        <w:numPr>
          <w:ilvl w:val="0"/>
          <w:numId w:val="1004"/>
        </w:numPr>
        <w:pStyle w:val="Compact"/>
      </w:pPr>
      <w:r>
        <w:rPr>
          <w:bCs/>
          <w:b/>
        </w:rPr>
        <w:t xml:space="preserve">Transportation &amp; Distribution (Downstream):</w:t>
      </w:r>
      <w:r>
        <w:t xml:space="preserve"> </w:t>
      </w:r>
      <w:r>
        <w:t xml:space="preserve">Logistics of the finished product from the factory to the end-consumer.</w:t>
      </w:r>
    </w:p>
    <w:p>
      <w:pPr>
        <w:numPr>
          <w:ilvl w:val="0"/>
          <w:numId w:val="1004"/>
        </w:numPr>
        <w:pStyle w:val="Compact"/>
      </w:pPr>
      <w:r>
        <w:rPr>
          <w:bCs/>
          <w:b/>
        </w:rPr>
        <w:t xml:space="preserve">Use Phase:</w:t>
      </w:r>
      <w:r>
        <w:t xml:space="preserve"> </w:t>
      </w:r>
      <w:r>
        <w:t xml:space="preserve">Energy consumption and other impacts during the product\'s lifespan.</w:t>
      </w:r>
    </w:p>
    <w:p>
      <w:pPr>
        <w:numPr>
          <w:ilvl w:val="0"/>
          <w:numId w:val="1004"/>
        </w:numPr>
        <w:pStyle w:val="Compact"/>
      </w:pPr>
      <w:r>
        <w:rPr>
          <w:bCs/>
          <w:b/>
        </w:rPr>
        <w:t xml:space="preserve">End-of-Life (EoL):</w:t>
      </w:r>
      <w:r>
        <w:t xml:space="preserve"> </w:t>
      </w:r>
      <w:r>
        <w:t xml:space="preserve">Disposal, recycling, or recovery processes after the product\'s use.</w:t>
      </w:r>
    </w:p>
    <w:bookmarkEnd w:id="27"/>
    <w:bookmarkStart w:id="33" w:name="X01a6f2215373ff75984ae406a4a39df3489b45e"/>
    <w:p>
      <w:pPr>
        <w:pStyle w:val="Heading2"/>
      </w:pPr>
      <w:r>
        <w:t xml:space="preserve">3. Data Collection (Primary &amp; Secondary Data Points)</w:t>
      </w:r>
    </w:p>
    <w:p>
      <w:pPr>
        <w:pStyle w:val="FirstParagraph"/>
      </w:pPr>
      <w:r>
        <w:t xml:space="preserve">Data collection forms the backbone of the PCF analysis, combining specific product data with industry-standard emission factors.</w:t>
      </w:r>
    </w:p>
    <w:bookmarkStart w:id="28" w:name="detailed-bill-of-materials-bom"/>
    <w:p>
      <w:pPr>
        <w:pStyle w:val="Heading3"/>
      </w:pPr>
      <w:r>
        <w:t xml:space="preserve">3.1 Detailed Bill of Materials (BOM)</w:t>
      </w:r>
    </w:p>
    <w:p>
      <w:pPr>
        <w:pStyle w:val="FirstParagraph"/>
      </w:pPr>
      <w:r>
        <w:t xml:space="preserve">The following detailed Bill of Materials (BOM) for \'npxpihgpnd\' is crucial for high-accuracy material impact calculation. For a real assessment, the string "wmdiptup" would be parsed into detailed item-level data, including specific emission factors and total carbon values. For illustrative purposes, a sample structure is presented below to demonstrate how such data would be integrated. The actual BOM data, if parsed, would populate this table.</w:t>
      </w:r>
    </w:p>
    <w:p>
      <w:pPr>
        <w:pStyle w:val="BodyText"/>
      </w:pPr>
      <w:r>
        <w:rPr>
          <w:iCs/>
          <w:i/>
        </w:rPr>
        <w:t xml:space="preserve">(Note: The following table is illustrative. In a real report, \'wmdiptup\' would be parsed into specific data rows. Since \'wmdiptup\' is provided as a literal string placeholder, we present a conceptual table structure and explain its use.)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[Example: 3.5]</w:t>
            </w:r>
          </w:p>
        </w:tc>
        <w:tc>
          <w:tcPr/>
          <w:p>
            <w:pPr>
              <w:pStyle w:val="Compact"/>
              <w:jc w:val="left"/>
            </w:pPr>
            <w:r>
              <w:t xml:space="preserve">[Example: 0.875]</w:t>
            </w:r>
          </w:p>
        </w:tc>
      </w:tr>
      <w:tr>
        <w:tc>
          <w:tcPr/>
          <w:p>
            <w:pPr>
              <w:pStyle w:val="Compact"/>
              <w:jc w:val="left"/>
            </w:pPr>
            <w:r>
              <w:t xml:space="preserve">102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[Example: 1.2]</w:t>
            </w:r>
          </w:p>
        </w:tc>
        <w:tc>
          <w:tcPr/>
          <w:p>
            <w:pPr>
              <w:pStyle w:val="Compact"/>
              <w:jc w:val="left"/>
            </w:pPr>
            <w:r>
              <w:t xml:space="preserve">[Example: 1.2]</w:t>
            </w:r>
          </w:p>
        </w:tc>
      </w:tr>
      <w:tr>
        <w:tc>
          <w:tcPr/>
          <w:p>
            <w:pPr>
              <w:pStyle w:val="Compact"/>
              <w:jc w:val="left"/>
            </w:pPr>
            <w:r>
              <w:t xml:space="preserve">103</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Casting &amp; 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[Example: 15.0]</w:t>
            </w:r>
          </w:p>
        </w:tc>
        <w:tc>
          <w:tcPr/>
          <w:p>
            <w:pPr>
              <w:pStyle w:val="Compact"/>
              <w:jc w:val="left"/>
            </w:pPr>
            <w:r>
              <w:t xml:space="preserve">[Example: 0.75]</w:t>
            </w:r>
          </w:p>
        </w:tc>
      </w:tr>
      <w:tr>
        <w:tc>
          <w:tcPr/>
          <w:p>
            <w:pPr>
              <w:pStyle w:val="Compact"/>
              <w:jc w:val="left"/>
            </w:pPr>
            <w:r>
              <w:t xml:space="preserve">...</w:t>
            </w:r>
          </w:p>
        </w:tc>
        <w:tc>
          <w:tcPr/>
          <w:p>
            <w:pPr>
              <w:pStyle w:val="Compact"/>
              <w:jc w:val="left"/>
            </w:pPr>
            <w:r>
              <w:rPr>
                <w:iCs/>
                <w:i/>
              </w:rPr>
              <w:t xml:space="preserve">(Actual data from \'wmdiptup\' would go here)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gridSpan w:val="7"/>
          </w:tcPr>
          <w:p>
            <w:pPr>
              <w:pStyle w:val="Compact"/>
              <w:jc w:val="left"/>
            </w:pPr>
            <w:r>
              <w:rPr>
                <w:bCs/>
                <w:b/>
              </w:rPr>
              <w:t xml:space="preserve">Illustrative Subtotal for Materials:</w:t>
            </w:r>
          </w:p>
        </w:tc>
        <w:tc>
          <w:tcPr/>
          <w:p>
            <w:pPr>
              <w:pStyle w:val="Compact"/>
              <w:jc w:val="left"/>
            </w:pPr>
            <w:r>
              <w:rPr>
                <w:bCs/>
                <w:b/>
              </w:rPr>
              <w:t xml:space="preserve">[Example: 2.825]</w:t>
            </w:r>
          </w:p>
        </w:tc>
      </w:tr>
    </w:tbl>
    <w:p>
      <w:pPr>
        <w:pStyle w:val="BodyText"/>
      </w:pPr>
      <w:r>
        <w:t xml:space="preserve">The provided Detailed Bill of Materials (BOM) is:</w:t>
      </w:r>
      <w:r>
        <w:t xml:space="preserve"> </w:t>
      </w:r>
      <w:r>
        <w:rPr>
          <w:bCs/>
          <w:b/>
        </w:rPr>
        <w:t xml:space="preserve">wmdiptup</w:t>
      </w:r>
      <w:r>
        <w:t xml:space="preserve">. For a full calculation, this string would contain parseable data following the specified format:</w:t>
      </w:r>
      <w:r>
        <w:t xml:space="preserve"> </w:t>
      </w:r>
      <w:r>
        <w:rPr>
          <w:iCs/>
          <w:i/>
        </w:rPr>
        <w:t xml:space="preserve">ID, Description, Category, Process, Qty, Unit, Emission Factor, Total Carbon</w:t>
      </w:r>
      <w:r>
        <w:t xml:space="preserve">. Each item\'s "Total Carbon" would contribute to the Scope 3 emissions (Category 1: Purchased Goods and Services).</w:t>
      </w:r>
    </w:p>
    <w:bookmarkEnd w:id="28"/>
    <w:bookmarkStart w:id="29" w:name="logistics-data"/>
    <w:p>
      <w:pPr>
        <w:pStyle w:val="Heading3"/>
      </w:pPr>
      <w:r>
        <w:t xml:space="preserve">3.2 Logistics Data</w:t>
      </w:r>
    </w:p>
    <w:p>
      <w:pPr>
        <w:numPr>
          <w:ilvl w:val="0"/>
          <w:numId w:val="1005"/>
        </w:numPr>
        <w:pStyle w:val="Compact"/>
      </w:pPr>
      <w:r>
        <w:rPr>
          <w:bCs/>
          <w:b/>
        </w:rPr>
        <w:t xml:space="preserve">Transport Mode:</w:t>
      </w:r>
      <w:r>
        <w:t xml:space="preserve"> </w:t>
      </w:r>
      <w:r>
        <w:t xml:space="preserve">Select Mode</w:t>
      </w:r>
    </w:p>
    <w:p>
      <w:pPr>
        <w:numPr>
          <w:ilvl w:val="0"/>
          <w:numId w:val="1005"/>
        </w:numPr>
        <w:pStyle w:val="Compact"/>
      </w:pPr>
      <w:r>
        <w:rPr>
          <w:bCs/>
          <w:b/>
        </w:rPr>
        <w:t xml:space="preserve">Transport Distance:</w:t>
      </w:r>
      <w:r>
        <w:t xml:space="preserve"> </w:t>
      </w:r>
      <w:r>
        <w:t xml:space="preserve">dkqzhpyyyw</w:t>
      </w:r>
    </w:p>
    <w:p>
      <w:pPr>
        <w:numPr>
          <w:ilvl w:val="0"/>
          <w:numId w:val="1005"/>
        </w:numPr>
        <w:pStyle w:val="Compact"/>
      </w:pPr>
      <w:r>
        <w:rPr>
          <w:bCs/>
          <w:b/>
        </w:rPr>
        <w:t xml:space="preserve">Last-Mile Delivery Channel:</w:t>
      </w:r>
      <w:r>
        <w:t xml:space="preserve"> </w:t>
      </w:r>
      <w:r>
        <w:t xml:space="preserve">Delivery Type</w:t>
      </w:r>
    </w:p>
    <w:bookmarkEnd w:id="29"/>
    <w:bookmarkStart w:id="30" w:name="X56b9d6d03739858614996de57896da5f5bd663e"/>
    <w:p>
      <w:pPr>
        <w:pStyle w:val="Heading3"/>
      </w:pPr>
      <w:r>
        <w:t xml:space="preserve">3.3 Production Phase Energy Customization Data</w:t>
      </w:r>
    </w:p>
    <w:p>
      <w:pPr>
        <w:numPr>
          <w:ilvl w:val="0"/>
          <w:numId w:val="1006"/>
        </w:numPr>
        <w:pStyle w:val="Compact"/>
      </w:pPr>
      <w:r>
        <w:rPr>
          <w:bCs/>
          <w:b/>
        </w:rPr>
        <w:t xml:space="preserve">Renewable Energy Usage:</w:t>
      </w:r>
      <w:r>
        <w:t xml:space="preserve"> </w:t>
      </w:r>
      <w:r>
        <w:t xml:space="preserve">vipvhzyufy</w:t>
      </w:r>
    </w:p>
    <w:p>
      <w:pPr>
        <w:numPr>
          <w:ilvl w:val="0"/>
          <w:numId w:val="1006"/>
        </w:numPr>
        <w:pStyle w:val="Compact"/>
      </w:pPr>
      <w:r>
        <w:rPr>
          <w:bCs/>
          <w:b/>
        </w:rPr>
        <w:t xml:space="preserve">Energy Intensity (kWh/unit):</w:t>
      </w:r>
      <w:r>
        <w:t xml:space="preserve"> </w:t>
      </w:r>
      <w:r>
        <w:t xml:space="preserve">ivhnisfqzi</w:t>
      </w:r>
    </w:p>
    <w:bookmarkEnd w:id="30"/>
    <w:bookmarkStart w:id="31"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uswtwmfigy</w:t>
      </w:r>
    </w:p>
    <w:p>
      <w:pPr>
        <w:numPr>
          <w:ilvl w:val="0"/>
          <w:numId w:val="1007"/>
        </w:numPr>
        <w:pStyle w:val="Compact"/>
      </w:pPr>
      <w:r>
        <w:rPr>
          <w:bCs/>
          <w:b/>
        </w:rPr>
        <w:t xml:space="preserve">Energy Consumption in Use:</w:t>
      </w:r>
      <w:r>
        <w:t xml:space="preserve"> </w:t>
      </w:r>
      <w:r>
        <w:t xml:space="preserve">rhtddlrrdl</w:t>
      </w:r>
    </w:p>
    <w:bookmarkEnd w:id="31"/>
    <w:bookmarkStart w:id="32"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rsouujpzmx</w:t>
      </w:r>
    </w:p>
    <w:p>
      <w:pPr>
        <w:numPr>
          <w:ilvl w:val="0"/>
          <w:numId w:val="1008"/>
        </w:numPr>
        <w:pStyle w:val="Compact"/>
      </w:pPr>
      <w:r>
        <w:rPr>
          <w:bCs/>
          <w:b/>
        </w:rPr>
        <w:t xml:space="preserve">Circular/Take-back Programs:</w:t>
      </w:r>
      <w:r>
        <w:t xml:space="preserve"> </w:t>
      </w:r>
      <w:r>
        <w:t xml:space="preserve">mkvynkswjh</w:t>
      </w:r>
    </w:p>
    <w:bookmarkEnd w:id="32"/>
    <w:bookmarkEnd w:id="33"/>
    <w:bookmarkStart w:id="45"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by multiplying the activity data (e.g., kg of material, kWh of energy, km of transport) by the relevant emission factor (kg CO2e per unit of activity). All calculations are performed in CO2 equivalents (CO2e) to account for all relevant greenhouse gases. Industry-standard emission factors are sourced from reputable databases like Ecoinvent and DEFRA, ensuring consistency and comparability.</w:t>
      </w:r>
    </w:p>
    <w:bookmarkStart w:id="43" w:name="ghg-protocol-scopes-breakdown"/>
    <w:p>
      <w:pPr>
        <w:pStyle w:val="Heading3"/>
      </w:pPr>
      <w:r>
        <w:t xml:space="preserve">4.1 GHG Protocol Scopes Breakdown</w:t>
      </w:r>
    </w:p>
    <w:p>
      <w:pPr>
        <w:pStyle w:val="FirstParagraph"/>
      </w:pPr>
      <w:r>
        <w:t xml:space="preserve">Emissions are categorized according to the GHG Protocol\'s three scopes: Scope 1 (direct), Scope 2 (purchased energy), and Scope 3 (value chain).</w:t>
      </w:r>
    </w:p>
    <w:bookmarkStart w:id="34" w:name="scope-1-direct-emissions"/>
    <w:p>
      <w:pPr>
        <w:pStyle w:val="Heading4"/>
      </w:pPr>
      <w:r>
        <w:t xml:space="preserve">Scope 1: Direct Emissions</w:t>
      </w:r>
    </w:p>
    <w:p>
      <w:pPr>
        <w:pStyle w:val="FirstParagraph"/>
      </w:pPr>
      <w:r>
        <w:t xml:space="preserve">These are direct GHG emissions from sources owned or controlled by qmoupdgkwy. For a "factory_gate" system boundary and given the parameters, direct emissions from on-site manufacturing operations (e.g., fuel combustion in owned boilers, fugitive emissions) would be included here. Without specific operational data, we assume these are accounted for within the energy intensity if the source is owned/controlled or would be negligible for this product\'s manufacturing process if not specified.</w:t>
      </w:r>
    </w:p>
    <w:p>
      <w:pPr>
        <w:numPr>
          <w:ilvl w:val="0"/>
          <w:numId w:val="1009"/>
        </w:numPr>
        <w:pStyle w:val="Compact"/>
      </w:pPr>
      <w:r>
        <w:rPr>
          <w:bCs/>
          <w:b/>
        </w:rPr>
        <w:t xml:space="preserve">Example Calculation:</w:t>
      </w:r>
      <w:r>
        <w:t xml:space="preserve"> </w:t>
      </w:r>
      <w:r>
        <w:t xml:space="preserve">If qmoupdgkwy operates a small natural gas boiler for heating (Scope 1 direct combustion), and consumes 100 kWh of natural gas per unit of npxpihgpnd, with an EF of 0.2 kg CO2e/kWh: 100 kWh * 0.2 kg CO2e/kWh = 20 kg CO2e.</w:t>
      </w:r>
    </w:p>
    <w:p>
      <w:pPr>
        <w:numPr>
          <w:ilvl w:val="0"/>
          <w:numId w:val="1009"/>
        </w:numPr>
        <w:pStyle w:val="Compact"/>
      </w:pPr>
      <w:r>
        <w:rPr>
          <w:bCs/>
          <w:b/>
        </w:rPr>
        <w:t xml:space="preserve">Illustrative Total Scope 1 Emissions:</w:t>
      </w:r>
      <w:r>
        <w:t xml:space="preserve"> </w:t>
      </w:r>
      <w:r>
        <w:t xml:space="preserve">[Example: 5.0 kg CO2e/unit]</w:t>
      </w:r>
    </w:p>
    <w:bookmarkEnd w:id="34"/>
    <w:bookmarkStart w:id="35" w:name="X940f739cc6425d99b84e128f190b13e064c5cd0"/>
    <w:p>
      <w:pPr>
        <w:pStyle w:val="Heading4"/>
      </w:pPr>
      <w:r>
        <w:t xml:space="preserve">Scope 2: Indirect Emissions from Purchased Energy</w:t>
      </w:r>
    </w:p>
    <w:p>
      <w:pPr>
        <w:pStyle w:val="FirstParagraph"/>
      </w:pPr>
      <w:r>
        <w:t xml:space="preserve">These emissions result from the generation of purchased electricity, steam, heat, or cooling consumed by qmoupdgkwy.</w:t>
      </w:r>
    </w:p>
    <w:p>
      <w:pPr>
        <w:numPr>
          <w:ilvl w:val="0"/>
          <w:numId w:val="1010"/>
        </w:numPr>
        <w:pStyle w:val="Compact"/>
      </w:pPr>
      <w:r>
        <w:rPr>
          <w:bCs/>
          <w:b/>
        </w:rPr>
        <w:t xml:space="preserve">Energy Intensity:</w:t>
      </w:r>
      <w:r>
        <w:t xml:space="preserve"> </w:t>
      </w:r>
      <w:r>
        <w:t xml:space="preserve">ivhnisfqzi kWh/unit</w:t>
      </w:r>
    </w:p>
    <w:p>
      <w:pPr>
        <w:numPr>
          <w:ilvl w:val="0"/>
          <w:numId w:val="1010"/>
        </w:numPr>
        <w:pStyle w:val="Compact"/>
      </w:pPr>
      <w:r>
        <w:rPr>
          <w:bCs/>
          <w:b/>
        </w:rPr>
        <w:t xml:space="preserve">Renewable Energy Usage:</w:t>
      </w:r>
      <w:r>
        <w:t xml:space="preserve"> </w:t>
      </w:r>
      <w:r>
        <w:t xml:space="preserve">vipvhzyufy</w:t>
      </w:r>
    </w:p>
    <w:p>
      <w:pPr>
        <w:numPr>
          <w:ilvl w:val="0"/>
          <w:numId w:val="1010"/>
        </w:numPr>
        <w:pStyle w:val="Compact"/>
      </w:pPr>
      <w:r>
        <w:rPr>
          <w:bCs/>
          <w:b/>
        </w:rPr>
        <w:t xml:space="preserve">Illustrative Calculation (assuming grid mix for China, adjusted by renewables):</w:t>
      </w:r>
    </w:p>
    <w:p>
      <w:pPr>
        <w:numPr>
          <w:ilvl w:val="1"/>
          <w:numId w:val="1011"/>
        </w:numPr>
        <w:pStyle w:val="Compact"/>
      </w:pPr>
      <w:r>
        <w:t xml:space="preserve">Assume a baseline grid emission factor for China: 0.7 kg CO2e/kWh (illustrative).</w:t>
      </w:r>
    </w:p>
    <w:p>
      <w:pPr>
        <w:numPr>
          <w:ilvl w:val="1"/>
          <w:numId w:val="1011"/>
        </w:numPr>
        <w:pStyle w:val="Compact"/>
      </w:pPr>
      <w:r>
        <w:t xml:space="preserve">Assume \'vipvhzyufy\' is "50%". Effective grid factor: 0.7 * (1 - 0.50) = 0.35 kg CO2e/kWh.</w:t>
      </w:r>
    </w:p>
    <w:p>
      <w:pPr>
        <w:numPr>
          <w:ilvl w:val="1"/>
          <w:numId w:val="1011"/>
        </w:numPr>
        <w:pStyle w:val="Compact"/>
      </w:pPr>
      <w:r>
        <w:t xml:space="preserve">Assume \'ivhnisfqzi\' is "10 kWh/unit".</w:t>
      </w:r>
    </w:p>
    <w:p>
      <w:pPr>
        <w:numPr>
          <w:ilvl w:val="1"/>
          <w:numId w:val="1011"/>
        </w:numPr>
        <w:pStyle w:val="Compact"/>
      </w:pPr>
      <w:r>
        <w:rPr>
          <w:bCs/>
          <w:b/>
        </w:rPr>
        <w:t xml:space="preserve">Scope 2 Emissions:</w:t>
      </w:r>
      <w:r>
        <w:t xml:space="preserve"> </w:t>
      </w:r>
      <w:r>
        <w:t xml:space="preserve">10 kWh/unit * 0.35 kg CO2e/kWh = 3.5 kg CO2e/unit.</w:t>
      </w:r>
    </w:p>
    <w:p>
      <w:pPr>
        <w:numPr>
          <w:ilvl w:val="0"/>
          <w:numId w:val="1010"/>
        </w:numPr>
        <w:pStyle w:val="Compact"/>
      </w:pPr>
      <w:r>
        <w:rPr>
          <w:bCs/>
          <w:b/>
        </w:rPr>
        <w:t xml:space="preserve">Total Scope 2 Emissions:</w:t>
      </w:r>
      <w:r>
        <w:t xml:space="preserve"> </w:t>
      </w:r>
      <w:r>
        <w:t xml:space="preserve">[Example: 3.5 kg CO2e/unit] (based on illustrative numbers)</w:t>
      </w:r>
    </w:p>
    <w:bookmarkEnd w:id="35"/>
    <w:bookmarkStart w:id="41" w:name="X37db9139fff08cccc0b4e0153e9b7b95d4db9f9"/>
    <w:p>
      <w:pPr>
        <w:pStyle w:val="Heading4"/>
      </w:pPr>
      <w:r>
        <w:t xml:space="preserve">Scope 3: Other Indirect Emissions (Value Chain Emissions)</w:t>
      </w:r>
    </w:p>
    <w:p>
      <w:pPr>
        <w:pStyle w:val="FirstParagraph"/>
      </w:pPr>
      <w:r>
        <w:t xml:space="preserve">Scope 3 emissions are typically the largest portion of a product\'s footprint, covering all other indirect emissions occurring in the value chain, both upstream and downstream. The 2026 requirements emphasize at least 95% coverage for Scope 3 reporting.</w:t>
      </w:r>
    </w:p>
    <w:bookmarkStart w:id="36" w:name="X7ad5e0e98897c613c4286df0588e28bd0eba6da"/>
    <w:p>
      <w:pPr>
        <w:pStyle w:val="Heading5"/>
      </w:pPr>
      <w:r>
        <w:t xml:space="preserve">Scope 3, Category 1: Purchased Goods and Services</w:t>
      </w:r>
    </w:p>
    <w:p>
      <w:pPr>
        <w:pStyle w:val="FirstParagraph"/>
      </w:pPr>
      <w:r>
        <w:t xml:space="preserve">Emissions from the extraction, production, and transportation of purchased raw materials and components (from BOM).</w:t>
      </w:r>
    </w:p>
    <w:p>
      <w:pPr>
        <w:numPr>
          <w:ilvl w:val="0"/>
          <w:numId w:val="1012"/>
        </w:numPr>
        <w:pStyle w:val="Compact"/>
      </w:pPr>
      <w:r>
        <w:rPr>
          <w:bCs/>
          <w:b/>
        </w:rPr>
        <w:t xml:space="preserve">BOM Data:</w:t>
      </w:r>
      <w:r>
        <w:t xml:space="preserve"> </w:t>
      </w:r>
      <w:r>
        <w:t xml:space="preserve">wmdiptup</w:t>
      </w:r>
    </w:p>
    <w:p>
      <w:pPr>
        <w:numPr>
          <w:ilvl w:val="0"/>
          <w:numId w:val="1012"/>
        </w:numPr>
        <w:pStyle w:val="Compact"/>
      </w:pPr>
      <w:r>
        <w:rPr>
          <w:bCs/>
          <w:b/>
        </w:rPr>
        <w:t xml:space="preserve">Illustrative Calculation:</w:t>
      </w:r>
      <w:r>
        <w:t xml:space="preserve"> </w:t>
      </w:r>
      <w:r>
        <w:t xml:space="preserve">Sum of "Total Carbon" from the parsed BOM data. If our illustrative BOM above sums to 2.825 kg CO2e/unit.</w:t>
      </w:r>
    </w:p>
    <w:p>
      <w:pPr>
        <w:numPr>
          <w:ilvl w:val="0"/>
          <w:numId w:val="1012"/>
        </w:numPr>
        <w:pStyle w:val="Compact"/>
      </w:pPr>
      <w:r>
        <w:rPr>
          <w:bCs/>
          <w:b/>
        </w:rPr>
        <w:t xml:space="preserve">Total Scope 3, Category 1 Emissions:</w:t>
      </w:r>
      <w:r>
        <w:t xml:space="preserve"> </w:t>
      </w:r>
      <w:r>
        <w:t xml:space="preserve">[Example: 2.825 kg CO2e/unit] (based on illustrative BOM)</w:t>
      </w:r>
    </w:p>
    <w:bookmarkEnd w:id="36"/>
    <w:bookmarkStart w:id="37" w:name="X0c46a1a99b25e095689b6b7d33179fb2f4cb54e"/>
    <w:p>
      <w:pPr>
        <w:pStyle w:val="Heading5"/>
      </w:pPr>
      <w:r>
        <w:t xml:space="preserve">Scope 3, Category 4: Upstream Transportation and Distribution</w:t>
      </w:r>
    </w:p>
    <w:p>
      <w:pPr>
        <w:pStyle w:val="FirstParagraph"/>
      </w:pPr>
      <w:r>
        <w:t xml:space="preserve">Emissions from the transportation of purchased products from suppliers to qmoupdgkwy\'s manufacturing facility.</w:t>
      </w:r>
    </w:p>
    <w:p>
      <w:pPr>
        <w:numPr>
          <w:ilvl w:val="0"/>
          <w:numId w:val="1013"/>
        </w:numPr>
        <w:pStyle w:val="Compact"/>
      </w:pPr>
      <w:r>
        <w:rPr>
          <w:bCs/>
          <w:b/>
        </w:rPr>
        <w:t xml:space="preserve">Transport Mode:</w:t>
      </w:r>
      <w:r>
        <w:t xml:space="preserve"> </w:t>
      </w:r>
      <w:r>
        <w:t xml:space="preserve">Select Mode</w:t>
      </w:r>
    </w:p>
    <w:p>
      <w:pPr>
        <w:numPr>
          <w:ilvl w:val="0"/>
          <w:numId w:val="1013"/>
        </w:numPr>
        <w:pStyle w:val="Compact"/>
      </w:pPr>
      <w:r>
        <w:rPr>
          <w:bCs/>
          <w:b/>
        </w:rPr>
        <w:t xml:space="preserve">Transport Distance:</w:t>
      </w:r>
      <w:r>
        <w:t xml:space="preserve"> </w:t>
      </w:r>
      <w:r>
        <w:t xml:space="preserve">dkqzhpyyyw</w:t>
      </w:r>
    </w:p>
    <w:p>
      <w:pPr>
        <w:numPr>
          <w:ilvl w:val="0"/>
          <w:numId w:val="1013"/>
        </w:numPr>
        <w:pStyle w:val="Compact"/>
      </w:pPr>
      <w:r>
        <w:rPr>
          <w:bCs/>
          <w:b/>
        </w:rPr>
        <w:t xml:space="preserve">Illustrative Calculation:</w:t>
      </w:r>
      <w:r>
        <w:t xml:space="preserve"> </w:t>
      </w:r>
      <w:r>
        <w:t xml:space="preserve">Assume \'dkqzhpyyyw\' is "500 km" and \'Select Mode\' is "Road Freight, HGV &gt; 16t". Assume an EF for Road Freight HGV &gt; 16t: 0.09 kg CO2e/tonne-km (illustrative from Ecoinvent/DEFRA). Assume average material weight per unit of product is 0.5 kg.</w:t>
      </w:r>
    </w:p>
    <w:p>
      <w:pPr>
        <w:numPr>
          <w:ilvl w:val="1"/>
          <w:numId w:val="1014"/>
        </w:numPr>
        <w:pStyle w:val="Compact"/>
      </w:pPr>
      <w:r>
        <w:rPr>
          <w:bCs/>
          <w:b/>
        </w:rPr>
        <w:t xml:space="preserve">Emissions:</w:t>
      </w:r>
      <w:r>
        <w:t xml:space="preserve"> </w:t>
      </w:r>
      <w:r>
        <w:t xml:space="preserve">(0.5 kg / 1000 kg/tonne) * 500 km * 0.09 kg CO2e/tonne-km = 0.0225 kg CO2e/unit.</w:t>
      </w:r>
    </w:p>
    <w:p>
      <w:pPr>
        <w:numPr>
          <w:ilvl w:val="0"/>
          <w:numId w:val="1013"/>
        </w:numPr>
        <w:pStyle w:val="Compact"/>
      </w:pPr>
      <w:r>
        <w:rPr>
          <w:bCs/>
          <w:b/>
        </w:rPr>
        <w:t xml:space="preserve">Total Scope 3, Category 4 Emissions:</w:t>
      </w:r>
      <w:r>
        <w:t xml:space="preserve"> </w:t>
      </w:r>
      <w:r>
        <w:t xml:space="preserve">[Example: 0.0225 kg CO2e/unit]</w:t>
      </w:r>
    </w:p>
    <w:bookmarkEnd w:id="37"/>
    <w:bookmarkStart w:id="38" w:name="X8921c1c9914893f4a50b57eaa3b6143aa0494a3"/>
    <w:p>
      <w:pPr>
        <w:pStyle w:val="Heading5"/>
      </w:pPr>
      <w:r>
        <w:t xml:space="preserve">Scope 3, Category 9: Downstream Transportation and Distribution</w:t>
      </w:r>
    </w:p>
    <w:p>
      <w:pPr>
        <w:pStyle w:val="FirstParagraph"/>
      </w:pPr>
      <w:r>
        <w:t xml:space="preserve">Emissions from the transportation of sold products from qmoupdgkwy\'s factory to the end-consumer.</w:t>
      </w:r>
    </w:p>
    <w:p>
      <w:pPr>
        <w:numPr>
          <w:ilvl w:val="0"/>
          <w:numId w:val="1015"/>
        </w:numPr>
        <w:pStyle w:val="Compact"/>
      </w:pPr>
      <w:r>
        <w:rPr>
          <w:bCs/>
          <w:b/>
        </w:rPr>
        <w:t xml:space="preserve">Last-Mile Delivery Channel:</w:t>
      </w:r>
      <w:r>
        <w:t xml:space="preserve"> </w:t>
      </w:r>
      <w:r>
        <w:t xml:space="preserve">Delivery Type</w:t>
      </w:r>
    </w:p>
    <w:p>
      <w:pPr>
        <w:numPr>
          <w:ilvl w:val="0"/>
          <w:numId w:val="1015"/>
        </w:numPr>
        <w:pStyle w:val="Compact"/>
      </w:pPr>
      <w:r>
        <w:rPr>
          <w:bCs/>
          <w:b/>
        </w:rPr>
        <w:t xml:space="preserve">Transport Distance:</w:t>
      </w:r>
      <w:r>
        <w:t xml:space="preserve"> </w:t>
      </w:r>
      <w:r>
        <w:t xml:space="preserve">dkqzhpyyyw (assuming this also covers downstream distance, or a derived downstream distance)</w:t>
      </w:r>
    </w:p>
    <w:p>
      <w:pPr>
        <w:numPr>
          <w:ilvl w:val="0"/>
          <w:numId w:val="1015"/>
        </w:numPr>
        <w:pStyle w:val="Compact"/>
      </w:pPr>
      <w:r>
        <w:rPr>
          <w:bCs/>
          <w:b/>
        </w:rPr>
        <w:t xml:space="preserve">Illustrative Calculation:</w:t>
      </w:r>
      <w:r>
        <w:t xml:space="preserve"> </w:t>
      </w:r>
      <w:r>
        <w:t xml:space="preserve">Assume \'dkqzhpyyyw\' is "100 km" (downstream portion) and \'Delivery Type\' is "Parcel delivery van". Assume an EF for Parcel delivery van: 0.2 kg CO2e/package-km (illustrative).</w:t>
      </w:r>
    </w:p>
    <w:p>
      <w:pPr>
        <w:numPr>
          <w:ilvl w:val="1"/>
          <w:numId w:val="1016"/>
        </w:numPr>
        <w:pStyle w:val="Compact"/>
      </w:pPr>
      <w:r>
        <w:rPr>
          <w:bCs/>
          <w:b/>
        </w:rPr>
        <w:t xml:space="preserve">Emissions:</w:t>
      </w:r>
      <w:r>
        <w:t xml:space="preserve"> </w:t>
      </w:r>
      <w:r>
        <w:t xml:space="preserve">100 km * 0.2 kg CO2e/package-km = 20 kg CO2e/unit (assuming one package per unit).</w:t>
      </w:r>
    </w:p>
    <w:p>
      <w:pPr>
        <w:numPr>
          <w:ilvl w:val="0"/>
          <w:numId w:val="1015"/>
        </w:numPr>
        <w:pStyle w:val="Compact"/>
      </w:pPr>
      <w:r>
        <w:rPr>
          <w:bCs/>
          <w:b/>
        </w:rPr>
        <w:t xml:space="preserve">Total Scope 3, Category 9 Emissions:</w:t>
      </w:r>
      <w:r>
        <w:t xml:space="preserve"> </w:t>
      </w:r>
      <w:r>
        <w:t xml:space="preserve">[Example: 20.0 kg CO2e/unit]</w:t>
      </w:r>
    </w:p>
    <w:bookmarkEnd w:id="38"/>
    <w:bookmarkStart w:id="39" w:name="scope-3-category-11-use-of-sold-products"/>
    <w:p>
      <w:pPr>
        <w:pStyle w:val="Heading5"/>
      </w:pPr>
      <w:r>
        <w:t xml:space="preserve">Scope 3, Category 11: Use of Sold Products</w:t>
      </w:r>
    </w:p>
    <w:p>
      <w:pPr>
        <w:pStyle w:val="FirstParagraph"/>
      </w:pPr>
      <w:r>
        <w:t xml:space="preserve">Emissions from the use of npxpihgpnd over its lifespan.</w:t>
      </w:r>
    </w:p>
    <w:p>
      <w:pPr>
        <w:numPr>
          <w:ilvl w:val="0"/>
          <w:numId w:val="1017"/>
        </w:numPr>
        <w:pStyle w:val="Compact"/>
      </w:pPr>
      <w:r>
        <w:rPr>
          <w:bCs/>
          <w:b/>
        </w:rPr>
        <w:t xml:space="preserve">Product Lifespan:</w:t>
      </w:r>
      <w:r>
        <w:t xml:space="preserve"> </w:t>
      </w:r>
      <w:r>
        <w:t xml:space="preserve">uswtwmfigy</w:t>
      </w:r>
    </w:p>
    <w:p>
      <w:pPr>
        <w:numPr>
          <w:ilvl w:val="0"/>
          <w:numId w:val="1017"/>
        </w:numPr>
        <w:pStyle w:val="Compact"/>
      </w:pPr>
      <w:r>
        <w:rPr>
          <w:bCs/>
          <w:b/>
        </w:rPr>
        <w:t xml:space="preserve">Energy Consumption in Use:</w:t>
      </w:r>
      <w:r>
        <w:t xml:space="preserve"> </w:t>
      </w:r>
      <w:r>
        <w:t xml:space="preserve">rhtddlrrdl</w:t>
      </w:r>
    </w:p>
    <w:p>
      <w:pPr>
        <w:numPr>
          <w:ilvl w:val="0"/>
          <w:numId w:val="1017"/>
        </w:numPr>
        <w:pStyle w:val="Compact"/>
      </w:pPr>
      <w:r>
        <w:rPr>
          <w:bCs/>
          <w:b/>
        </w:rPr>
        <w:t xml:space="preserve">Illustrative Calculation:</w:t>
      </w:r>
      <w:r>
        <w:t xml:space="preserve"> </w:t>
      </w:r>
      <w:r>
        <w:t xml:space="preserve">Assume \'uswtwmfigy\' is "5 years" and \'rhtddlrrdl\' is "5 kWh/year". Assume a typical grid EF for use region (e.g., Europe average): 0.3 kg CO2e/kWh (illustrative).</w:t>
      </w:r>
    </w:p>
    <w:p>
      <w:pPr>
        <w:numPr>
          <w:ilvl w:val="1"/>
          <w:numId w:val="1018"/>
        </w:numPr>
        <w:pStyle w:val="Compact"/>
      </w:pPr>
      <w:r>
        <w:rPr>
          <w:bCs/>
          <w:b/>
        </w:rPr>
        <w:t xml:space="preserve">Emissions:</w:t>
      </w:r>
      <w:r>
        <w:t xml:space="preserve"> </w:t>
      </w:r>
      <w:r>
        <w:t xml:space="preserve">5 kWh/year * 5 years * 0.3 kg CO2e/kWh = 7.5 kg CO2e/unit.</w:t>
      </w:r>
    </w:p>
    <w:p>
      <w:pPr>
        <w:numPr>
          <w:ilvl w:val="0"/>
          <w:numId w:val="1017"/>
        </w:numPr>
        <w:pStyle w:val="Compact"/>
      </w:pPr>
      <w:r>
        <w:rPr>
          <w:bCs/>
          <w:b/>
        </w:rPr>
        <w:t xml:space="preserve">Total Scope 3, Category 11 Emissions:</w:t>
      </w:r>
      <w:r>
        <w:t xml:space="preserve"> </w:t>
      </w:r>
      <w:r>
        <w:t xml:space="preserve">[Example: 7.5 kg CO2e/unit]</w:t>
      </w:r>
    </w:p>
    <w:bookmarkEnd w:id="39"/>
    <w:bookmarkStart w:id="40" w:name="X8a83d50c0d89d142371b1cb2678444c0262a9c4"/>
    <w:p>
      <w:pPr>
        <w:pStyle w:val="Heading5"/>
      </w:pPr>
      <w:r>
        <w:t xml:space="preserve">Scope 3, Category 12: End-of-Life Treatment of Sold Products</w:t>
      </w:r>
    </w:p>
    <w:p>
      <w:pPr>
        <w:pStyle w:val="FirstParagraph"/>
      </w:pPr>
      <w:r>
        <w:t xml:space="preserve">Emissions from the disposal and treatment of npxpihgpnd at the end of its life.</w:t>
      </w:r>
    </w:p>
    <w:p>
      <w:pPr>
        <w:numPr>
          <w:ilvl w:val="0"/>
          <w:numId w:val="1019"/>
        </w:numPr>
        <w:pStyle w:val="Compact"/>
      </w:pPr>
      <w:r>
        <w:rPr>
          <w:bCs/>
          <w:b/>
        </w:rPr>
        <w:t xml:space="preserve">Recyclability Percentage:</w:t>
      </w:r>
      <w:r>
        <w:t xml:space="preserve"> </w:t>
      </w:r>
      <w:r>
        <w:t xml:space="preserve">rsouujpzmx</w:t>
      </w:r>
    </w:p>
    <w:p>
      <w:pPr>
        <w:numPr>
          <w:ilvl w:val="0"/>
          <w:numId w:val="1019"/>
        </w:numPr>
        <w:pStyle w:val="Compact"/>
      </w:pPr>
      <w:r>
        <w:rPr>
          <w:bCs/>
          <w:b/>
        </w:rPr>
        <w:t xml:space="preserve">Circular/Take-back Programs:</w:t>
      </w:r>
      <w:r>
        <w:t xml:space="preserve"> </w:t>
      </w:r>
      <w:r>
        <w:t xml:space="preserve">mkvynkswjh</w:t>
      </w:r>
    </w:p>
    <w:p>
      <w:pPr>
        <w:numPr>
          <w:ilvl w:val="0"/>
          <w:numId w:val="1019"/>
        </w:numPr>
        <w:pStyle w:val="Compact"/>
      </w:pPr>
      <w:r>
        <w:rPr>
          <w:bCs/>
          <w:b/>
        </w:rPr>
        <w:t xml:space="preserve">Illustrative Calculation:</w:t>
      </w:r>
      <w:r>
        <w:t xml:space="preserve"> </w:t>
      </w:r>
      <w:r>
        <w:t xml:space="preserve">Assume \'rsouujpzmx\' is "70%". Assume 70% recycled, 20% incinerated, 10% landfilled. Assume product weight 0.8 kg.</w:t>
      </w:r>
    </w:p>
    <w:p>
      <w:pPr>
        <w:numPr>
          <w:ilvl w:val="1"/>
          <w:numId w:val="1020"/>
        </w:numPr>
        <w:pStyle w:val="Compact"/>
      </w:pPr>
      <w:r>
        <w:t xml:space="preserve">EF Recycling (avoided emissions credit): -1.5 kg CO2e/kg (illustrative) * 0.8kg * 0.70 = -0.84 kg CO2e.</w:t>
      </w:r>
    </w:p>
    <w:p>
      <w:pPr>
        <w:numPr>
          <w:ilvl w:val="1"/>
          <w:numId w:val="1020"/>
        </w:numPr>
        <w:pStyle w:val="Compact"/>
      </w:pPr>
      <w:r>
        <w:t xml:space="preserve">EF Incineration: 1.0 kg CO2e/kg (illustrative) * 0.8kg * 0.20 = 0.16 kg CO2e.</w:t>
      </w:r>
    </w:p>
    <w:p>
      <w:pPr>
        <w:numPr>
          <w:ilvl w:val="1"/>
          <w:numId w:val="1020"/>
        </w:numPr>
        <w:pStyle w:val="Compact"/>
      </w:pPr>
      <w:r>
        <w:t xml:space="preserve">EF Landfill: 0.5 kg CO2e/kg (illustrative) * 0.8kg * 0.10 = 0.04 kg CO2e.</w:t>
      </w:r>
    </w:p>
    <w:p>
      <w:pPr>
        <w:numPr>
          <w:ilvl w:val="1"/>
          <w:numId w:val="1020"/>
        </w:numPr>
        <w:pStyle w:val="Compact"/>
      </w:pPr>
      <w:r>
        <w:rPr>
          <w:bCs/>
          <w:b/>
        </w:rPr>
        <w:t xml:space="preserve">Net Emissions:</w:t>
      </w:r>
      <w:r>
        <w:t xml:space="preserve"> </w:t>
      </w:r>
      <w:r>
        <w:t xml:space="preserve">-0.84 + 0.16 + 0.04 = -0.64 kg CO2e/unit.</w:t>
      </w:r>
    </w:p>
    <w:p>
      <w:pPr>
        <w:numPr>
          <w:ilvl w:val="1"/>
          <w:numId w:val="1020"/>
        </w:numPr>
        <w:pStyle w:val="Compact"/>
      </w:pPr>
      <w:r>
        <w:t xml:space="preserve">The presence of \'mkvynkswjh\' programs would enhance the recyclability and potentially reduce net emissions further.</w:t>
      </w:r>
    </w:p>
    <w:p>
      <w:pPr>
        <w:numPr>
          <w:ilvl w:val="0"/>
          <w:numId w:val="1019"/>
        </w:numPr>
        <w:pStyle w:val="Compact"/>
      </w:pPr>
      <w:r>
        <w:rPr>
          <w:bCs/>
          <w:b/>
        </w:rPr>
        <w:t xml:space="preserve">Total Scope 3, Category 12 Emissions:</w:t>
      </w:r>
      <w:r>
        <w:t xml:space="preserve"> </w:t>
      </w:r>
      <w:r>
        <w:t xml:space="preserve">[Example: -0.64 kg CO2e/unit]</w:t>
      </w:r>
    </w:p>
    <w:bookmarkEnd w:id="40"/>
    <w:bookmarkEnd w:id="41"/>
    <w:bookmarkStart w:id="42" w:name="land-sector-and-removals-lsr-update"/>
    <w:p>
      <w:pPr>
        <w:pStyle w:val="Heading4"/>
      </w:pPr>
      <w:r>
        <w:t xml:space="preserve">2026 Land Sector and Removals (LSR) Update</w:t>
      </w:r>
    </w:p>
    <w:p>
      <w:pPr>
        <w:pStyle w:val="FirstParagraph"/>
      </w:pPr>
      <w:r>
        <w:t xml:space="preserve">The GHG Protocol\'s Land Sector and Removals (LSR) Standard, released on January 30, 2026, and effective January 1, 2027, provides specific requirements for accounting for emissions and carbon removals from land use and land management activities. While the \'factory_gate\' boundary limits direct land use focus, the LSR Standard is relevant for understanding biogenic carbon flows within the value chain (e.g., bio-based materials in Category 1) and potential carbon removals. The accompanying LSR Guidance, expected in Q2 2026, will provide further implementation support. For this product, if any raw materials are derived from agricultural or forestry sources (though forestry is not included in the initial LSR Standard, it is under development), their associated land-use change emissions or removals would be accounted for under Scope 3, Category 1 following LSR principles. Without specific data on land use for raw materials, no direct LSR calculations can be provided here, but its importance for future, more granular analyses is noted.</w:t>
      </w:r>
    </w:p>
    <w:bookmarkEnd w:id="42"/>
    <w:bookmarkEnd w:id="43"/>
    <w:bookmarkStart w:id="44" w:name="overall-pcf-summary-illustrative"/>
    <w:p>
      <w:pPr>
        <w:pStyle w:val="Heading3"/>
      </w:pPr>
      <w:r>
        <w:t xml:space="preserve">4.2 Overall PCF Summary (Illustrative)</w:t>
      </w:r>
    </w:p>
    <w:p>
      <w:pPr>
        <w:pStyle w:val="FirstParagraph"/>
      </w:pPr>
      <w:r>
        <w:t xml:space="preserve">Based on the illustrative calculations above, the total Product Carbon Footprint for one unit of npxpihgpnd would be: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Category</w:t>
            </w:r>
          </w:p>
        </w:tc>
        <w:tc>
          <w:tcPr/>
          <w:p>
            <w:pPr>
              <w:pStyle w:val="Compact"/>
              <w:jc w:val="left"/>
            </w:pPr>
            <w:r>
              <w:t xml:space="preserve">Illustrative Emissions (kg CO2e/unit)</w:t>
            </w:r>
          </w:p>
        </w:tc>
      </w:tr>
      <w:tr>
        <w:tc>
          <w:tcPr/>
          <w:p>
            <w:pPr>
              <w:pStyle w:val="Compact"/>
              <w:jc w:val="left"/>
            </w:pPr>
            <w:r>
              <w:t xml:space="preserve">Scope 1 (Direct Emissions)</w:t>
            </w:r>
          </w:p>
        </w:tc>
        <w:tc>
          <w:tcPr/>
          <w:p>
            <w:pPr>
              <w:pStyle w:val="Compact"/>
              <w:jc w:val="left"/>
            </w:pPr>
            <w:r>
              <w:t xml:space="preserve">5.0</w:t>
            </w:r>
          </w:p>
        </w:tc>
      </w:tr>
      <w:tr>
        <w:tc>
          <w:tcPr/>
          <w:p>
            <w:pPr>
              <w:pStyle w:val="Compact"/>
              <w:jc w:val="left"/>
            </w:pPr>
            <w:r>
              <w:t xml:space="preserve">Scope 2 (Purchased Energy)</w:t>
            </w:r>
          </w:p>
        </w:tc>
        <w:tc>
          <w:tcPr/>
          <w:p>
            <w:pPr>
              <w:pStyle w:val="Compact"/>
              <w:jc w:val="left"/>
            </w:pPr>
            <w:r>
              <w:t xml:space="preserve">3.5</w:t>
            </w:r>
          </w:p>
        </w:tc>
      </w:tr>
      <w:tr>
        <w:tc>
          <w:tcPr/>
          <w:p>
            <w:pPr>
              <w:pStyle w:val="Compact"/>
              <w:jc w:val="left"/>
            </w:pPr>
            <w:r>
              <w:t xml:space="preserve">Scope 3, Category 1 (Purchased Goods and Services)</w:t>
            </w:r>
          </w:p>
        </w:tc>
        <w:tc>
          <w:tcPr/>
          <w:p>
            <w:pPr>
              <w:pStyle w:val="Compact"/>
              <w:jc w:val="left"/>
            </w:pPr>
            <w:r>
              <w:t xml:space="preserve">2.825</w:t>
            </w:r>
          </w:p>
        </w:tc>
      </w:tr>
      <w:tr>
        <w:tc>
          <w:tcPr/>
          <w:p>
            <w:pPr>
              <w:pStyle w:val="Compact"/>
              <w:jc w:val="left"/>
            </w:pPr>
            <w:r>
              <w:t xml:space="preserve">Scope 3, Category 4 (Upstream Transport)</w:t>
            </w:r>
          </w:p>
        </w:tc>
        <w:tc>
          <w:tcPr/>
          <w:p>
            <w:pPr>
              <w:pStyle w:val="Compact"/>
              <w:jc w:val="left"/>
            </w:pPr>
            <w:r>
              <w:t xml:space="preserve">0.0225</w:t>
            </w:r>
          </w:p>
        </w:tc>
      </w:tr>
      <w:tr>
        <w:tc>
          <w:tcPr/>
          <w:p>
            <w:pPr>
              <w:pStyle w:val="Compact"/>
              <w:jc w:val="left"/>
            </w:pPr>
            <w:r>
              <w:t xml:space="preserve">Scope 3, Category 9 (Downstream Transport)</w:t>
            </w:r>
          </w:p>
        </w:tc>
        <w:tc>
          <w:tcPr/>
          <w:p>
            <w:pPr>
              <w:pStyle w:val="Compact"/>
              <w:jc w:val="left"/>
            </w:pPr>
            <w:r>
              <w:t xml:space="preserve">20.0</w:t>
            </w:r>
          </w:p>
        </w:tc>
      </w:tr>
      <w:tr>
        <w:tc>
          <w:tcPr/>
          <w:p>
            <w:pPr>
              <w:pStyle w:val="Compact"/>
              <w:jc w:val="left"/>
            </w:pPr>
            <w:r>
              <w:t xml:space="preserve">Scope 3, Category 11 (Use of Sold Products)</w:t>
            </w:r>
          </w:p>
        </w:tc>
        <w:tc>
          <w:tcPr/>
          <w:p>
            <w:pPr>
              <w:pStyle w:val="Compact"/>
              <w:jc w:val="left"/>
            </w:pPr>
            <w:r>
              <w:t xml:space="preserve">7.5</w:t>
            </w:r>
          </w:p>
        </w:tc>
      </w:tr>
      <w:tr>
        <w:tc>
          <w:tcPr/>
          <w:p>
            <w:pPr>
              <w:pStyle w:val="Compact"/>
              <w:jc w:val="left"/>
            </w:pPr>
            <w:r>
              <w:t xml:space="preserve">Scope 3, Category 12 (End-of-Life Treatment)</w:t>
            </w:r>
          </w:p>
        </w:tc>
        <w:tc>
          <w:tcPr/>
          <w:p>
            <w:pPr>
              <w:pStyle w:val="Compact"/>
              <w:jc w:val="left"/>
            </w:pPr>
            <w:r>
              <w:t xml:space="preserve">-0.64</w:t>
            </w:r>
          </w:p>
        </w:tc>
      </w:tr>
      <w:tr>
        <w:tc>
          <w:tcPr/>
          <w:p>
            <w:pPr>
              <w:pStyle w:val="Compact"/>
              <w:jc w:val="left"/>
            </w:pPr>
            <w:r>
              <w:rPr>
                <w:bCs/>
                <w:b/>
              </w:rPr>
              <w:t xml:space="preserve">Total Product Carbon Footprint</w:t>
            </w:r>
          </w:p>
        </w:tc>
        <w:tc>
          <w:tcPr/>
          <w:p>
            <w:pPr>
              <w:pStyle w:val="Compact"/>
              <w:jc w:val="left"/>
            </w:pPr>
            <w:r>
              <w:rPr>
                <w:bCs/>
                <w:b/>
              </w:rPr>
              <w:t xml:space="preserve">38.2075 kg CO2e/unit</w:t>
            </w:r>
          </w:p>
        </w:tc>
      </w:tr>
    </w:tbl>
    <w:p>
      <w:pPr>
        <w:pStyle w:val="BodyText"/>
      </w:pPr>
      <w:r>
        <w:rPr>
          <w:iCs/>
          <w:i/>
        </w:rPr>
        <w:t xml:space="preserve">(Note: These are illustrative calculations. Actual values would depend on the detailed parsing of provided data and precise emission factors.)</w:t>
      </w:r>
    </w:p>
    <w:bookmarkEnd w:id="44"/>
    <w:bookmarkEnd w:id="45"/>
    <w:bookmarkStart w:id="48" w:name="review-report"/>
    <w:p>
      <w:pPr>
        <w:pStyle w:val="Heading2"/>
      </w:pPr>
      <w:r>
        <w:t xml:space="preserve">5. Review &amp; Report</w:t>
      </w:r>
    </w:p>
    <w:bookmarkStart w:id="46" w:name="hotspots-and-reliability"/>
    <w:p>
      <w:pPr>
        <w:pStyle w:val="Heading3"/>
      </w:pPr>
      <w:r>
        <w:t xml:space="preserve">5.1 Hotspots and Reliability</w:t>
      </w:r>
    </w:p>
    <w:p>
      <w:pPr>
        <w:pStyle w:val="FirstParagraph"/>
      </w:pPr>
      <w:r>
        <w:t xml:space="preserve">Based on the illustrative calculations, downstream transportation and the use phase appear to be significant emission hotspots for npxpihgpnd. The reliability of this report is dependent on the accuracy and completeness of the input data provided (e.g., \'wmdiptup\', \'dkqzhpyyyw\', \'vipvhzyufy\'). For a truly high-accuracy PCF, primary data collection from suppliers and internal operations would be paramount. Secondary data (e.g., Ecoinvent/DEFRA emission factors) provides a robust basis where primary data is unavailable.</w:t>
      </w:r>
    </w:p>
    <w:bookmarkEnd w:id="46"/>
    <w:bookmarkStart w:id="47" w:name="scope-3-compliance"/>
    <w:p>
      <w:pPr>
        <w:pStyle w:val="Heading3"/>
      </w:pPr>
      <w:r>
        <w:t xml:space="preserve">5.2 Scope 3 Compliance</w:t>
      </w:r>
    </w:p>
    <w:p>
      <w:pPr>
        <w:pStyle w:val="FirstParagraph"/>
      </w:pPr>
      <w:r>
        <w:t xml:space="preserve">As per 2026 requirements, efforts have been made to ensure at least 95% coverage for Scope 3 reporting. The identified categories (Purchased Goods &amp; Services, Upstream Transport, Downstream Transport, Use Phase, End-of-Life) are typically the most material for a product like npxpihgpnd. A full Scope 3 assessment would involve a detailed materiality assessment of all 15 (or potentially 16 under proposed revisions) categories to ensure complete coverage and justification for any exclusions (limited to 5%).</w:t>
      </w:r>
    </w:p>
    <w:bookmarkEnd w:id="47"/>
    <w:bookmarkEnd w:id="48"/>
    <w:bookmarkStart w:id="49" w:name="recommendations"/>
    <w:p>
      <w:pPr>
        <w:pStyle w:val="Heading2"/>
      </w:pPr>
      <w:r>
        <w:t xml:space="preserve">Recommendations</w:t>
      </w:r>
    </w:p>
    <w:p>
      <w:pPr>
        <w:numPr>
          <w:ilvl w:val="0"/>
          <w:numId w:val="1021"/>
        </w:numPr>
        <w:pStyle w:val="Compact"/>
      </w:pPr>
      <w:r>
        <w:rPr>
          <w:bCs/>
          <w:b/>
        </w:rPr>
        <w:t xml:space="preserve">Data Granularity:</w:t>
      </w:r>
      <w:r>
        <w:t xml:space="preserve"> </w:t>
      </w:r>
      <w:r>
        <w:t xml:space="preserve">Prioritize collecting primary data for high-impact materials and processes, especially for the BOM (wmdiptup) and actual transport distances/modes.</w:t>
      </w:r>
    </w:p>
    <w:p>
      <w:pPr>
        <w:numPr>
          <w:ilvl w:val="0"/>
          <w:numId w:val="1021"/>
        </w:numPr>
        <w:pStyle w:val="Compact"/>
      </w:pPr>
      <w:r>
        <w:rPr>
          <w:bCs/>
          <w:b/>
        </w:rPr>
        <w:t xml:space="preserve">Supply Chain Engagement:</w:t>
      </w:r>
      <w:r>
        <w:t xml:space="preserve"> </w:t>
      </w:r>
      <w:r>
        <w:t xml:space="preserve">Collaborate with suppliers to understand and reduce upstream emissions, focusing on material production and logistics.</w:t>
      </w:r>
    </w:p>
    <w:p>
      <w:pPr>
        <w:numPr>
          <w:ilvl w:val="0"/>
          <w:numId w:val="1021"/>
        </w:numPr>
        <w:pStyle w:val="Compact"/>
      </w:pPr>
      <w:r>
        <w:rPr>
          <w:bCs/>
          <w:b/>
        </w:rPr>
        <w:t xml:space="preserve">Energy Efficiency:</w:t>
      </w:r>
      <w:r>
        <w:t xml:space="preserve"> </w:t>
      </w:r>
      <w:r>
        <w:t xml:space="preserve">Invest in energy-efficient manufacturing processes and increase the share of renewable energy sourcing beyond \'vipvhzyufy\' to further reduce Scope 2 emissions.</w:t>
      </w:r>
    </w:p>
    <w:p>
      <w:pPr>
        <w:numPr>
          <w:ilvl w:val="0"/>
          <w:numId w:val="1021"/>
        </w:numPr>
        <w:pStyle w:val="Compact"/>
      </w:pPr>
      <w:r>
        <w:rPr>
          <w:bCs/>
          <w:b/>
        </w:rPr>
        <w:t xml:space="preserve">Logistics Optimization:</w:t>
      </w:r>
      <w:r>
        <w:t xml:space="preserve"> </w:t>
      </w:r>
      <w:r>
        <w:t xml:space="preserve">Investigate more efficient transport modes (\'Select Mode\'), optimized routes for \'dkqzhpyyyw\', and greener last-mile delivery options (\'Delivery Type\') to mitigate transportation impacts.</w:t>
      </w:r>
    </w:p>
    <w:p>
      <w:pPr>
        <w:numPr>
          <w:ilvl w:val="0"/>
          <w:numId w:val="1021"/>
        </w:numPr>
        <w:pStyle w:val="Compact"/>
      </w:pPr>
      <w:r>
        <w:rPr>
          <w:bCs/>
          <w:b/>
        </w:rPr>
        <w:t xml:space="preserve">Product Design for Circularity:</w:t>
      </w:r>
      <w:r>
        <w:t xml:space="preserve"> </w:t>
      </w:r>
      <w:r>
        <w:t xml:space="preserve">Enhance product durability (\'uswtwmfigy\') and energy efficiency during use (\'rhtddlrrdl\'). Explore opportunities to increase \'rsouujpzmx\' (recyclability) and expand \'mkvynkswjh\' (circular/take-back programs) to minimize end-of-life impacts.</w:t>
      </w:r>
    </w:p>
    <w:p>
      <w:pPr>
        <w:numPr>
          <w:ilvl w:val="0"/>
          <w:numId w:val="1021"/>
        </w:numPr>
        <w:pStyle w:val="Compact"/>
      </w:pPr>
      <w:r>
        <w:rPr>
          <w:bCs/>
          <w:b/>
        </w:rPr>
        <w:t xml:space="preserve">LSR Implementation:</w:t>
      </w:r>
      <w:r>
        <w:t xml:space="preserve"> </w:t>
      </w:r>
      <w:r>
        <w:t xml:space="preserve">For materials with land-based origins, prepare for detailed reporting under the 2026 GHG Protocol LSR Standard once specific guidance (expected Q2 2026) becomes available, ensuring traceability and accurate accounting of land use change and removals.</w:t>
      </w:r>
    </w:p>
    <w:p>
      <w:r>
        <w:pict>
          <v:rect style="width:0;height:1.5pt" o:hralign="center" o:hrstd="t" o:hr="t"/>
        </w:pic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npxpihgpnd</dc:title>
  <dc:creator/>
  <dc:description>A high-detail Product Carbon Footprint (PCF) analysis report for npxpihgpnd, conducted by ddludditli, Senior Sustainability Consultant at qmoupdgkwy, adhering to GHG Protocol standards and incorporating the 2026 LSR Update and Scope 3 compliance.</dc:description>
  <dc:language>en</dc:language>
  <cp:keywords/>
  <dcterms:created xsi:type="dcterms:W3CDTF">2026-05-30T18:31:55Z</dcterms:created>
  <dcterms:modified xsi:type="dcterms:W3CDTF">2026-05-30T18:31:55Z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