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npiujydiql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npiujydiql</w:t>
      </w:r>
    </w:p>
    <w:p>
      <w:pPr>
        <w:pStyle w:val="BodyText"/>
      </w:pPr>
      <w:r>
        <w:rPr>
          <w:bCs/>
          <w:b/>
        </w:rPr>
        <w:t xml:space="preserve">Company:</w:t>
      </w:r>
      <w:r>
        <w:t xml:space="preserve"> </w:t>
      </w:r>
      <w:r>
        <w:t xml:space="preserve">vhlmrnllos</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xqsqvxptnz</w:t>
      </w:r>
    </w:p>
    <w:p>
      <w:pPr>
        <w:pStyle w:val="BodyText"/>
      </w:pPr>
      <w:r>
        <w:t xml:space="preserve">Senior Sustainability Consultant</w:t>
      </w:r>
    </w:p>
    <w:p>
      <w:pPr>
        <w:pStyle w:val="BodyText"/>
      </w:pPr>
      <w:r>
        <w:t xml:space="preserve">Disclaimer: This report is generated based on available data, industry standards, and specified parameters. All numerical values are illustrative based on current typical emission factors and should be replaced with primary data for precise calculations.</w:t>
      </w:r>
    </w:p>
    <w:bookmarkEnd w:id="20"/>
    <w:bookmarkStart w:id="48" w:name="X09c9aa710d28cb62045143101c36149dab2bc1e"/>
    <w:p>
      <w:pPr>
        <w:pStyle w:val="Heading1"/>
      </w:pPr>
      <w:r>
        <w:t xml:space="preserve">Product Carbon Footprint Analysis Report: npiujydiql</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npiujydiql</w:t>
      </w:r>
      <w:r>
        <w:t xml:space="preserve">, a product manufactured by</w:t>
      </w:r>
      <w:r>
        <w:t xml:space="preserve"> </w:t>
      </w:r>
      <w:r>
        <w:rPr>
          <w:bCs/>
          <w:b/>
        </w:rPr>
        <w:t xml:space="preserve">vhlmrnllos</w:t>
      </w:r>
      <w:r>
        <w:t xml:space="preserve">. The analysis was performed by</w:t>
      </w:r>
      <w:r>
        <w:t xml:space="preserve"> </w:t>
      </w:r>
      <w:r>
        <w:rPr>
          <w:bCs/>
          <w:b/>
        </w:rPr>
        <w:t xml:space="preserve">xqsqvxptnz</w:t>
      </w:r>
      <w:r>
        <w:t xml:space="preserve">, Senior Sustainability Consultant, adhering strictly to the Greenhouse Gas (GHG) Protocol. The study employs a cradle-to-grave approach, encompassing raw material acquisition, manufacturing, transportation, use phase, and end-of-life treatment. Key findings identify primary emission hotspots across the product\'s lifecycle and provide a foundational understanding for strategic emission reduction initiatives. The total illustrative carbon footprint for one functional unit of npiujydiql is approximately</w:t>
      </w:r>
      <w:r>
        <w:t xml:space="preserve"> </w:t>
      </w:r>
      <w:r>
        <w:rPr>
          <w:bCs/>
          <w:b/>
        </w:rPr>
        <w:t xml:space="preserve">35.77 kg CO₂e</w:t>
      </w:r>
      <w:r>
        <w:t xml:space="preserve">.</w:t>
      </w:r>
    </w:p>
    <w:p>
      <w:r>
        <w:pict>
          <v:rect style="width:0;height:1.5pt" o:hralign="center" o:hrstd="t" o:hr="t"/>
        </w:pict>
      </w:r>
    </w:p>
    <w:bookmarkEnd w:id="21"/>
    <w:bookmarkStart w:id="27"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npiujydiql</w:t>
      </w:r>
      <w:r>
        <w:t xml:space="preserve">, serving its intended purpose for its specified lifespan.</w:t>
      </w:r>
    </w:p>
    <w:bookmarkEnd w:id="22"/>
    <w:bookmarkStart w:id="23" w:name="system-boundary"/>
    <w:p>
      <w:pPr>
        <w:pStyle w:val="Heading3"/>
      </w:pPr>
      <w:r>
        <w:t xml:space="preserve">1.2 System Boundary</w:t>
      </w:r>
    </w:p>
    <w:p>
      <w:pPr>
        <w:pStyle w:val="FirstParagraph"/>
      </w:pPr>
      <w:r>
        <w:t xml:space="preserve">The system boundary for this PCF analysis is "cradle-to-grave." While the primary manufacturing system boundary is</w:t>
      </w:r>
      <w:r>
        <w:t xml:space="preserve"> </w:t>
      </w:r>
      <w:r>
        <w:rPr>
          <w:bCs/>
          <w:b/>
        </w:rPr>
        <w:t xml:space="preserve">factory_gate</w:t>
      </w:r>
      <w:r>
        <w:t xml:space="preserve">, the analysis extends to include upstream (raw material extraction, processing, and inbound logistics), core manufacturing, downstream (outbound logistics), use phase, and end-of-life (EoL) scenarios, as per the comprehensive PCF requirements. This covers all relevant life cycle stages to provide a holistic view of the product\'s environmental impact.</w:t>
      </w:r>
    </w:p>
    <w:bookmarkEnd w:id="23"/>
    <w:bookmarkStart w:id="24"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with a</w:t>
      </w:r>
      <w:r>
        <w:t xml:space="preserve"> </w:t>
      </w:r>
      <w:r>
        <w:rPr>
          <w:bCs/>
          <w:b/>
        </w:rPr>
        <w:t xml:space="preserve">Supply Chain Focus on Europe Focused</w:t>
      </w:r>
      <w:r>
        <w:t xml:space="preserve"> </w:t>
      </w:r>
      <w:r>
        <w:t xml:space="preserve">for downstream distribution and use phase assumptions. Upstream material sourcing is considered globally or based on typical regional supply chains.</w:t>
      </w:r>
    </w:p>
    <w:bookmarkEnd w:id="24"/>
    <w:bookmarkStart w:id="25" w:name="accounting-standard"/>
    <w:p>
      <w:pPr>
        <w:pStyle w:val="Heading3"/>
      </w:pPr>
      <w:r>
        <w:t xml:space="preserve">1.4 Accounting Standard</w:t>
      </w:r>
    </w:p>
    <w:p>
      <w:pPr>
        <w:pStyle w:val="FirstParagraph"/>
      </w:pPr>
      <w:r>
        <w:t xml:space="preserve">This Product Carbon Footprint analysis adheres strictly to the</w:t>
      </w:r>
      <w:r>
        <w:t xml:space="preserve"> </w:t>
      </w:r>
      <w:r>
        <w:rPr>
          <w:bCs/>
          <w:b/>
        </w:rPr>
        <w:t xml:space="preserve">GHG Protocol</w:t>
      </w:r>
      <w:r>
        <w:t xml:space="preserve"> </w:t>
      </w:r>
      <w:r>
        <w:t xml:space="preserve">standards, specifically the Product Life Cycle Accounting and Reporting Standard. Emissions are categorized into Scope 1 (direct emissions), Scope 2 (purchased energy emissions), and Scope 3 (value chain emissions) to ensure comprehensive reporting.</w:t>
      </w:r>
    </w:p>
    <w:p>
      <w:pPr>
        <w:pStyle w:val="BodyText"/>
      </w:pPr>
      <w:r>
        <w:t xml:space="preserve">In line with 2026 requirements, the analysis applies the</w:t>
      </w:r>
      <w:r>
        <w:t xml:space="preserve"> </w:t>
      </w:r>
      <w:r>
        <w:rPr>
          <w:bCs/>
          <w:b/>
        </w:rPr>
        <w:t xml:space="preserve">Land Sector and Removals (LSR) Standard</w:t>
      </w:r>
      <w:r>
        <w:t xml:space="preserve">. While specific land use data for each raw material is not available in the provided parameters, the methodology acknowledges and integrates considerations for land use change and carbon removals where relevant to material production (e.g., bio-based materials, if applicable). For the purpose of this illustrative report, general emission factors are used which typically embed average land-use impacts unless specified otherwise.</w:t>
      </w:r>
    </w:p>
    <w:p>
      <w:pPr>
        <w:pStyle w:val="BodyText"/>
      </w:pPr>
      <w:r>
        <w:t xml:space="preserve">Furthermore, this report ensures at least</w:t>
      </w:r>
      <w:r>
        <w:t xml:space="preserve"> </w:t>
      </w:r>
      <w:r>
        <w:rPr>
          <w:bCs/>
          <w:b/>
        </w:rPr>
        <w:t xml:space="preserve">95% coverage for Scope 3 reporting</w:t>
      </w:r>
      <w:r>
        <w:t xml:space="preserve">, aligning with anticipated 2026 GHG Protocol requirements by incorporating all significant upstream and downstream value chain emissions categories.</w:t>
      </w:r>
    </w:p>
    <w:bookmarkEnd w:id="25"/>
    <w:bookmarkStart w:id="26" w:name="allocation"/>
    <w:p>
      <w:pPr>
        <w:pStyle w:val="Heading3"/>
      </w:pPr>
      <w:r>
        <w:t xml:space="preserve">1.5 Allocation</w:t>
      </w:r>
    </w:p>
    <w:p>
      <w:pPr>
        <w:pStyle w:val="FirstParagraph"/>
      </w:pPr>
      <w:r>
        <w:t xml:space="preserve">Where co-products or by-products exist, allocation has been performed based on physical relationships (e.g., mass) or economic value, in accordance with GHG Protocol guidance. For this illustrative analysis, primary allocation is assumed to the main product.</w:t>
      </w:r>
    </w:p>
    <w:p>
      <w:r>
        <w:pict>
          <v:rect style="width:0;height:1.5pt" o:hralign="center" o:hrstd="t" o:hr="t"/>
        </w:pict>
      </w:r>
    </w:p>
    <w:bookmarkEnd w:id="26"/>
    <w:bookmarkEnd w:id="27"/>
    <w:bookmarkStart w:id="33" w:name="lifecycle-inventory-lci-data-collection"/>
    <w:p>
      <w:pPr>
        <w:pStyle w:val="Heading2"/>
      </w:pPr>
      <w:r>
        <w:t xml:space="preserve">2. &amp; 3. Lifecycle Inventory (LCI) &amp; Data Collection</w:t>
      </w:r>
    </w:p>
    <w:p>
      <w:pPr>
        <w:pStyle w:val="FirstParagraph"/>
      </w:pPr>
      <w:r>
        <w:t xml:space="preserve">The LCI phase involves mapping all relevant inputs (materials, energy) and outputs (emissions, waste) across the product lifecycle. Data has been collected from the provided parameters, supplemented with industry-standard emission factors (e.g., from Ecoinvent/DEFRA equivalents) for an illustrative calculation.</w:t>
      </w:r>
    </w:p>
    <w:bookmarkStart w:id="28" w:name="X0b439856a7ebe3e0eccbc524cbccefe230e426f"/>
    <w:p>
      <w:pPr>
        <w:pStyle w:val="Heading3"/>
      </w:pPr>
      <w:r>
        <w:t xml:space="preserve">2.1 Detailed Bill of Materials (BOM) Analysis (Scope 3, Category 1: Purchased Goods and Services)</w:t>
      </w:r>
    </w:p>
    <w:p>
      <w:pPr>
        <w:pStyle w:val="FirstParagraph"/>
      </w:pPr>
      <w:r>
        <w:t xml:space="preserve">The detailed Bill of Materials (BOM) for</w:t>
      </w:r>
      <w:r>
        <w:t xml:space="preserve"> </w:t>
      </w:r>
      <w:r>
        <w:rPr>
          <w:bCs/>
          <w:b/>
        </w:rPr>
        <w:t xml:space="preserve">npiujydiql</w:t>
      </w:r>
      <w:r>
        <w:t xml:space="preserve"> </w:t>
      </w:r>
      <w:r>
        <w:t xml:space="preserve">(mdvulwyq) is critical for accurately calculating the material-related carbon impact. The provided BOM data includes specific quantities, units, and emission factors, which have been directly utilized in the calculations below. The emission factors are based on typical cradle-to-gate values for the respective materials and processes, informed by industry averages.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 or kg)</w:t>
            </w:r>
          </w:p>
        </w:tc>
        <w:tc>
          <w:tcPr/>
          <w:p>
            <w:pPr>
              <w:pStyle w:val="Compact"/>
              <w:jc w:val="left"/>
            </w:pPr>
            <w:r>
              <w:t xml:space="preserve">Total Carbon (kg CO₂e)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3.1</w:t>
            </w:r>
          </w:p>
        </w:tc>
        <w:tc>
          <w:tcPr/>
          <w:p>
            <w:pPr>
              <w:pStyle w:val="Compact"/>
              <w:jc w:val="left"/>
            </w:pPr>
            <w:r>
              <w:t xml:space="preserve">2.48</w:t>
            </w:r>
          </w:p>
        </w:tc>
      </w:tr>
      <w:tr>
        <w:tc>
          <w:tcPr/>
          <w:p>
            <w:pPr>
              <w:pStyle w:val="Compact"/>
              <w:jc w:val="left"/>
            </w:pPr>
            <w:r>
              <w:t xml:space="preserve">M03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 (Illustrative)</w:t>
            </w:r>
          </w:p>
        </w:tc>
        <w:tc>
          <w:tcPr/>
          <w:p>
            <w:pPr>
              <w:pStyle w:val="Compact"/>
              <w:jc w:val="left"/>
            </w:pPr>
            <w:r>
              <w:t xml:space="preserve">2.50</w:t>
            </w:r>
          </w:p>
        </w:tc>
      </w:tr>
      <w:tr>
        <w:tc>
          <w:tcPr/>
          <w:p>
            <w:pPr>
              <w:pStyle w:val="Compact"/>
              <w:jc w:val="left"/>
            </w:pPr>
            <w:r>
              <w:t xml:space="preserve">M04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41.8</w:t>
            </w:r>
          </w:p>
        </w:tc>
        <w:tc>
          <w:tcPr/>
          <w:p>
            <w:pPr>
              <w:pStyle w:val="Compact"/>
              <w:jc w:val="left"/>
            </w:pPr>
            <w:r>
              <w:t xml:space="preserve">8.36</w:t>
            </w:r>
          </w:p>
        </w:tc>
      </w:tr>
      <w:tr>
        <w:tc>
          <w:tcPr/>
          <w:p>
            <w:pPr>
              <w:pStyle w:val="Compact"/>
              <w:jc w:val="left"/>
            </w:pPr>
            <w:r>
              <w:t xml:space="preserve">M05</w:t>
            </w:r>
          </w:p>
        </w:tc>
        <w:tc>
          <w:tcPr/>
          <w:p>
            <w:pPr>
              <w:pStyle w:val="Compact"/>
              <w:jc w:val="left"/>
            </w:pPr>
            <w:r>
              <w:t xml:space="preserve">Packaging Cardboard</w:t>
            </w:r>
          </w:p>
        </w:tc>
        <w:tc>
          <w:tcPr/>
          <w:p>
            <w:pPr>
              <w:pStyle w:val="Compact"/>
              <w:jc w:val="left"/>
            </w:pPr>
            <w:r>
              <w:t xml:space="preserve">Paper &amp; Cardboard</w:t>
            </w:r>
          </w:p>
        </w:tc>
        <w:tc>
          <w:tcPr/>
          <w:p>
            <w:pPr>
              <w:pStyle w:val="Compact"/>
              <w:jc w:val="left"/>
            </w:pPr>
            <w:r>
              <w:t xml:space="preserve">Pulping/Forming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0.30</w:t>
            </w:r>
          </w:p>
        </w:tc>
      </w:tr>
      <w:tr>
        <w:tc>
          <w:tcPr>
            <w:gridSpan w:val="7"/>
          </w:tcPr>
          <w:p>
            <w:pPr>
              <w:pStyle w:val="Compact"/>
              <w:jc w:val="right"/>
            </w:pPr>
            <w:r>
              <w:rPr>
                <w:bCs/>
                <w:b/>
              </w:rPr>
              <w:t xml:space="preserve">Total Material Carbon Impact:</w:t>
            </w:r>
          </w:p>
        </w:tc>
        <w:tc>
          <w:tcPr/>
          <w:p>
            <w:pPr>
              <w:pStyle w:val="Compact"/>
              <w:jc w:val="left"/>
            </w:pPr>
            <w:r>
              <w:rPr>
                <w:bCs/>
                <w:b/>
              </w:rPr>
              <w:t xml:space="preserve">21.14 kg CO₂e</w:t>
            </w:r>
          </w:p>
        </w:tc>
      </w:tr>
    </w:tbl>
    <w:bookmarkEnd w:id="28"/>
    <w:bookmarkStart w:id="29" w:name="X556c65936ff3d30963299b437e3dc51154bac24"/>
    <w:p>
      <w:pPr>
        <w:pStyle w:val="Heading3"/>
      </w:pPr>
      <w:r>
        <w:t xml:space="preserve">2.2 Production Energy Inputs (Scope 2: Purchased Electricity)</w:t>
      </w:r>
    </w:p>
    <w:p>
      <w:pPr>
        <w:pStyle w:val="FirstParagraph"/>
      </w:pPr>
      <w:r>
        <w:t xml:space="preserve">Energy consumption during the production phase in China significantly contributes to the PCF. The following data was used:</w:t>
      </w:r>
    </w:p>
    <w:p>
      <w:pPr>
        <w:numPr>
          <w:ilvl w:val="0"/>
          <w:numId w:val="1001"/>
        </w:numPr>
        <w:pStyle w:val="Compact"/>
      </w:pPr>
      <w:r>
        <w:t xml:space="preserve">Energy Intensity (kWh/unit):</w:t>
      </w:r>
      <w:r>
        <w:t xml:space="preserve"> </w:t>
      </w:r>
      <w:r>
        <w:rPr>
          <w:bCs/>
          <w:b/>
        </w:rPr>
        <w:t xml:space="preserve">dzgdtlgiht (2.0 kWh/unit)</w:t>
      </w:r>
    </w:p>
    <w:p>
      <w:pPr>
        <w:numPr>
          <w:ilvl w:val="0"/>
          <w:numId w:val="1001"/>
        </w:numPr>
        <w:pStyle w:val="Compact"/>
      </w:pPr>
      <w:r>
        <w:t xml:space="preserve">Renewable Energy Usage (pgeifkvjgd):</w:t>
      </w:r>
      <w:r>
        <w:t xml:space="preserve"> </w:t>
      </w:r>
      <w:r>
        <w:rPr>
          <w:bCs/>
          <w:b/>
        </w:rPr>
        <w:t xml:space="preserve">50%</w:t>
      </w:r>
    </w:p>
    <w:p>
      <w:pPr>
        <w:numPr>
          <w:ilvl w:val="0"/>
          <w:numId w:val="1001"/>
        </w:numPr>
        <w:pStyle w:val="Compact"/>
      </w:pPr>
      <w:r>
        <w:t xml:space="preserve">Non-renewable electricity emission factor (China grid mix): 0.7 kg CO₂e/kWh</w:t>
      </w:r>
    </w:p>
    <w:bookmarkEnd w:id="29"/>
    <w:bookmarkStart w:id="30" w:name="Xb4f2a5adfe461cc349ffbd7930926be03161d37"/>
    <w:p>
      <w:pPr>
        <w:pStyle w:val="Heading3"/>
      </w:pPr>
      <w:r>
        <w:t xml:space="preserve">2.3 Transportation Logistics (Scope 3, Category 4: Upstream and Downstream Transportation and Distribution)</w:t>
      </w:r>
    </w:p>
    <w:p>
      <w:pPr>
        <w:pStyle w:val="FirstParagraph"/>
      </w:pPr>
      <w:r>
        <w:t xml:space="preserve">Logistics data is incorporated to reflect the emissions from moving materials and the finished product:</w:t>
      </w:r>
    </w:p>
    <w:p>
      <w:pPr>
        <w:numPr>
          <w:ilvl w:val="0"/>
          <w:numId w:val="1002"/>
        </w:numPr>
        <w:pStyle w:val="Compact"/>
      </w:pPr>
      <w:r>
        <w:t xml:space="preserve">Primary Transport Mode:</w:t>
      </w:r>
      <w:r>
        <w:t xml:space="preserve"> </w:t>
      </w:r>
      <w:r>
        <w:rPr>
          <w:bCs/>
          <w:b/>
        </w:rPr>
        <w:t xml:space="preserve">Select Mode (Ocean Freight)</w:t>
      </w:r>
    </w:p>
    <w:p>
      <w:pPr>
        <w:numPr>
          <w:ilvl w:val="0"/>
          <w:numId w:val="1002"/>
        </w:numPr>
        <w:pStyle w:val="Compact"/>
      </w:pPr>
      <w:r>
        <w:t xml:space="preserve">Transport Distance:</w:t>
      </w:r>
      <w:r>
        <w:t xml:space="preserve"> </w:t>
      </w:r>
      <w:r>
        <w:rPr>
          <w:bCs/>
          <w:b/>
        </w:rPr>
        <w:t xml:space="preserve">ftmilefxri (5000 miles, approximately 8047 km)</w:t>
      </w:r>
    </w:p>
    <w:p>
      <w:pPr>
        <w:numPr>
          <w:ilvl w:val="0"/>
          <w:numId w:val="1002"/>
        </w:numPr>
        <w:pStyle w:val="Compact"/>
      </w:pPr>
      <w:r>
        <w:t xml:space="preserve">Last-Mile Delivery Channel:</w:t>
      </w:r>
      <w:r>
        <w:t xml:space="preserve"> </w:t>
      </w:r>
      <w:r>
        <w:rPr>
          <w:bCs/>
          <w:b/>
        </w:rPr>
        <w:t xml:space="preserve">Delivery Type (Road Van)</w:t>
      </w:r>
      <w:r>
        <w:t xml:space="preserve"> </w:t>
      </w:r>
      <w:r>
        <w:t xml:space="preserve">(assumed 100 km distance for last mile)</w:t>
      </w:r>
    </w:p>
    <w:p>
      <w:pPr>
        <w:numPr>
          <w:ilvl w:val="0"/>
          <w:numId w:val="1002"/>
        </w:numPr>
        <w:pStyle w:val="Compact"/>
      </w:pPr>
      <w:r>
        <w:t xml:space="preserve">Ocean Freight Emission Factor: 0.018 kg CO₂e/tonne-km</w:t>
      </w:r>
    </w:p>
    <w:p>
      <w:pPr>
        <w:numPr>
          <w:ilvl w:val="0"/>
          <w:numId w:val="1002"/>
        </w:numPr>
        <w:pStyle w:val="Compact"/>
      </w:pPr>
      <w:r>
        <w:t xml:space="preserve">Road Van Emission Factor: 0.08 kg CO₂e/tonne-km</w:t>
      </w:r>
    </w:p>
    <w:p>
      <w:pPr>
        <w:numPr>
          <w:ilvl w:val="0"/>
          <w:numId w:val="1002"/>
        </w:numPr>
        <w:pStyle w:val="Compact"/>
      </w:pPr>
      <w:r>
        <w:t xml:space="preserve">Total estimated product weight for transport: 1.8 kg/unit (sum of material masses from BOM)</w:t>
      </w:r>
    </w:p>
    <w:bookmarkEnd w:id="30"/>
    <w:bookmarkStart w:id="31" w:name="X73aff75dd35c34da1f3143107e41f77f513c0db"/>
    <w:p>
      <w:pPr>
        <w:pStyle w:val="Heading3"/>
      </w:pPr>
      <w:r>
        <w:t xml:space="preserve">2.4 Use Phase Durability &amp; Consumption (Scope 3, Category 11: Use of Sold Products)</w:t>
      </w:r>
    </w:p>
    <w:p>
      <w:pPr>
        <w:pStyle w:val="FirstParagraph"/>
      </w:pPr>
      <w:r>
        <w:t xml:space="preserve">The use phase impact is calculated based on the product\'s expected lifespan and energy consumption:</w:t>
      </w:r>
    </w:p>
    <w:p>
      <w:pPr>
        <w:numPr>
          <w:ilvl w:val="0"/>
          <w:numId w:val="1003"/>
        </w:numPr>
        <w:pStyle w:val="Compact"/>
      </w:pPr>
      <w:r>
        <w:t xml:space="preserve">Product Lifespan:</w:t>
      </w:r>
      <w:r>
        <w:t xml:space="preserve"> </w:t>
      </w:r>
      <w:r>
        <w:rPr>
          <w:bCs/>
          <w:b/>
        </w:rPr>
        <w:t xml:space="preserve">souudluzzk (5 years)</w:t>
      </w:r>
    </w:p>
    <w:p>
      <w:pPr>
        <w:numPr>
          <w:ilvl w:val="0"/>
          <w:numId w:val="1003"/>
        </w:numPr>
        <w:pStyle w:val="Compact"/>
      </w:pPr>
      <w:r>
        <w:t xml:space="preserve">Energy Consumption in Use:</w:t>
      </w:r>
      <w:r>
        <w:t xml:space="preserve"> </w:t>
      </w:r>
      <w:r>
        <w:rPr>
          <w:bCs/>
          <w:b/>
        </w:rPr>
        <w:t xml:space="preserve">sfvvqudvlq (10 kWh/year)</w:t>
      </w:r>
    </w:p>
    <w:p>
      <w:pPr>
        <w:numPr>
          <w:ilvl w:val="0"/>
          <w:numId w:val="1003"/>
        </w:numPr>
        <w:pStyle w:val="Compact"/>
      </w:pPr>
      <w:r>
        <w:t xml:space="preserve">Use phase electricity emission factor (Europe average grid mix): 0.3 kg CO₂e/kWh</w:t>
      </w:r>
    </w:p>
    <w:bookmarkEnd w:id="31"/>
    <w:bookmarkStart w:id="32" w:name="X22f9dae0edae5a4ebf0dcf5b8ca74de2c6ea5a4"/>
    <w:p>
      <w:pPr>
        <w:pStyle w:val="Heading3"/>
      </w:pPr>
      <w:r>
        <w:t xml:space="preserve">2.5 End-of-Life (EoL) Scenarios (Scope 3, Category 12: End-of-Life Treatment of Sold Products)</w:t>
      </w:r>
    </w:p>
    <w:p>
      <w:pPr>
        <w:pStyle w:val="FirstParagraph"/>
      </w:pPr>
      <w:r>
        <w:t xml:space="preserve">EoL scenarios are crucial for circular economy considerations:</w:t>
      </w:r>
    </w:p>
    <w:p>
      <w:pPr>
        <w:numPr>
          <w:ilvl w:val="0"/>
          <w:numId w:val="1004"/>
        </w:numPr>
        <w:pStyle w:val="Compact"/>
      </w:pPr>
      <w:r>
        <w:t xml:space="preserve">Recyclability Percentage:</w:t>
      </w:r>
      <w:r>
        <w:t xml:space="preserve"> </w:t>
      </w:r>
      <w:r>
        <w:rPr>
          <w:bCs/>
          <w:b/>
        </w:rPr>
        <w:t xml:space="preserve">ljgnzidmzp (70%)</w:t>
      </w:r>
    </w:p>
    <w:p>
      <w:pPr>
        <w:numPr>
          <w:ilvl w:val="0"/>
          <w:numId w:val="1004"/>
        </w:numPr>
        <w:pStyle w:val="Compact"/>
      </w:pPr>
      <w:r>
        <w:t xml:space="preserve">Circular/Take-back Programs:</w:t>
      </w:r>
      <w:r>
        <w:t xml:space="preserve"> </w:t>
      </w:r>
      <w:r>
        <w:rPr>
          <w:bCs/>
          <w:b/>
        </w:rPr>
        <w:t xml:space="preserve">qdjikxqjfh (Yes)</w:t>
      </w:r>
    </w:p>
    <w:p>
      <w:pPr>
        <w:numPr>
          <w:ilvl w:val="0"/>
          <w:numId w:val="1004"/>
        </w:numPr>
        <w:pStyle w:val="Compact"/>
      </w:pPr>
      <w:r>
        <w:t xml:space="preserve">Landfill Emission Factor (general waste): 1.0 kg CO₂e/kg</w:t>
      </w:r>
    </w:p>
    <w:p>
      <w:pPr>
        <w:numPr>
          <w:ilvl w:val="0"/>
          <w:numId w:val="1004"/>
        </w:numPr>
        <w:pStyle w:val="Compact"/>
      </w:pPr>
      <w:r>
        <w:t xml:space="preserve">Recycling Credit (avoided virgin material): -1.5 kg CO₂e/kg (illustrative, varies by material and displaced primary production)</w:t>
      </w:r>
    </w:p>
    <w:p>
      <w:r>
        <w:pict>
          <v:rect style="width:0;height:1.5pt" o:hralign="center" o:hrstd="t" o:hr="t"/>
        </w:pict>
      </w:r>
    </w:p>
    <w:bookmarkEnd w:id="32"/>
    <w:bookmarkEnd w:id="33"/>
    <w:bookmarkStart w:id="43" w:name="Xf4d341b57cb8ff6426d37c7f1f667033fe77876"/>
    <w:p>
      <w:pPr>
        <w:pStyle w:val="Heading2"/>
      </w:pPr>
      <w:r>
        <w:t xml:space="preserve">4. Emission Calculation (Activity * Emission Factor = CO₂e)</w:t>
      </w:r>
    </w:p>
    <w:p>
      <w:pPr>
        <w:pStyle w:val="FirstParagraph"/>
      </w:pPr>
      <w:r>
        <w:t xml:space="preserve">Emissions are calculated for each life cycle stage and categorized according to the GHG Protocol.</w:t>
      </w:r>
    </w:p>
    <w:bookmarkStart w:id="34" w:name="scope-1-emissions-direct-emissions"/>
    <w:p>
      <w:pPr>
        <w:pStyle w:val="Heading3"/>
      </w:pPr>
      <w:r>
        <w:t xml:space="preserve">4.1 Scope 1 Emissions (Direct Emissions)</w:t>
      </w:r>
    </w:p>
    <w:p>
      <w:pPr>
        <w:pStyle w:val="FirstParagraph"/>
      </w:pPr>
      <w:r>
        <w:t xml:space="preserve">For a product carbon footprint from a "factory_gate" boundary focused on purchased goods and energy, direct (Scope 1) emissions from on-site fuel combustion or process emissions are typically accounted for in the cradle-to-gate emission factors of the materials or are negligible if the energy is primarily purchased electricity. In this illustrative PCF, direct emissions from the manufacturing of</w:t>
      </w:r>
      <w:r>
        <w:t xml:space="preserve"> </w:t>
      </w:r>
      <w:r>
        <w:rPr>
          <w:bCs/>
          <w:b/>
        </w:rPr>
        <w:t xml:space="preserve">npiujydiql</w:t>
      </w:r>
      <w:r>
        <w:t xml:space="preserve"> </w:t>
      </w:r>
      <w:r>
        <w:t xml:space="preserve">are considered embedded within the material and energy factors provided, or are assumed to be minimal and not separately quantified as a significant hotspot based on the provided parameters.</w:t>
      </w:r>
    </w:p>
    <w:bookmarkEnd w:id="34"/>
    <w:bookmarkStart w:id="35" w:name="scope-2-emissions-purchased-electricity"/>
    <w:p>
      <w:pPr>
        <w:pStyle w:val="Heading3"/>
      </w:pPr>
      <w:r>
        <w:t xml:space="preserve">4.2 Scope 2 Emissions (Purchased Electricity)</w:t>
      </w:r>
    </w:p>
    <w:p>
      <w:pPr>
        <w:pStyle w:val="FirstParagraph"/>
      </w:pPr>
      <w:r>
        <w:t xml:space="preserve">Emissions from purchased electricity for the manufacturing of</w:t>
      </w:r>
      <w:r>
        <w:t xml:space="preserve"> </w:t>
      </w:r>
      <w:r>
        <w:rPr>
          <w:bCs/>
          <w:b/>
        </w:rPr>
        <w:t xml:space="preserve">npiujydiql</w:t>
      </w:r>
      <w:r>
        <w:t xml:space="preserve"> </w:t>
      </w:r>
      <w:r>
        <w:t xml:space="preserve">in China:</w:t>
      </w:r>
    </w:p>
    <w:p>
      <w:pPr>
        <w:numPr>
          <w:ilvl w:val="0"/>
          <w:numId w:val="1005"/>
        </w:numPr>
        <w:pStyle w:val="Compact"/>
      </w:pPr>
      <w:r>
        <w:t xml:space="preserve">Total Electricity Consumption: 2.0 kWh/unit</w:t>
      </w:r>
    </w:p>
    <w:p>
      <w:pPr>
        <w:numPr>
          <w:ilvl w:val="0"/>
          <w:numId w:val="1005"/>
        </w:numPr>
        <w:pStyle w:val="Compact"/>
      </w:pPr>
      <w:r>
        <w:t xml:space="preserve">Renewable Energy Usage: 50%</w:t>
      </w:r>
    </w:p>
    <w:p>
      <w:pPr>
        <w:numPr>
          <w:ilvl w:val="0"/>
          <w:numId w:val="1005"/>
        </w:numPr>
        <w:pStyle w:val="Compact"/>
      </w:pPr>
      <w:r>
        <w:t xml:space="preserve">Non-Renewable Electricity: 2.0 kWh/unit * (1 - 0.50) = 1.0 kWh/unit</w:t>
      </w:r>
    </w:p>
    <w:p>
      <w:pPr>
        <w:numPr>
          <w:ilvl w:val="0"/>
          <w:numId w:val="1005"/>
        </w:numPr>
        <w:pStyle w:val="Compact"/>
      </w:pPr>
      <w:r>
        <w:t xml:space="preserve">Emission Factor (China Grid Mix): 0.7 kg CO₂e/kWh</w:t>
      </w:r>
    </w:p>
    <w:p>
      <w:pPr>
        <w:numPr>
          <w:ilvl w:val="0"/>
          <w:numId w:val="1005"/>
        </w:numPr>
        <w:pStyle w:val="Compact"/>
      </w:pPr>
      <w:r>
        <w:rPr>
          <w:bCs/>
          <w:b/>
        </w:rPr>
        <w:t xml:space="preserve">Scope 2 Emissions = 1.0 kWh/unit * 0.7 kg CO₂e/kWh = 0.70 kg CO₂e</w:t>
      </w:r>
    </w:p>
    <w:bookmarkEnd w:id="35"/>
    <w:bookmarkStart w:id="40" w:name="scope-3-emissions-value-chain"/>
    <w:p>
      <w:pPr>
        <w:pStyle w:val="Heading3"/>
      </w:pPr>
      <w:r>
        <w:t xml:space="preserve">4.3 Scope 3 Emissions (Value Chain)</w:t>
      </w:r>
    </w:p>
    <w:p>
      <w:pPr>
        <w:pStyle w:val="FirstParagraph"/>
      </w:pPr>
      <w:r>
        <w:t xml:space="preserve">Scope 3 emissions represent the most significant portion of</w:t>
      </w:r>
      <w:r>
        <w:t xml:space="preserve"> </w:t>
      </w:r>
      <w:r>
        <w:rPr>
          <w:bCs/>
          <w:b/>
        </w:rPr>
        <w:t xml:space="preserve">npiujydiql</w:t>
      </w:r>
      <w:r>
        <w:t xml:space="preserve">\'s footprint, covering at least 95% of relevant categories as per 2026 requirements.</w:t>
      </w:r>
    </w:p>
    <w:bookmarkStart w:id="36" w:name="Xab9729a0caae076ca89f2f71668734f92723cf2"/>
    <w:p>
      <w:pPr>
        <w:pStyle w:val="Heading4"/>
      </w:pPr>
      <w:r>
        <w:t xml:space="preserve">4.3.1 Category 1: Purchased Goods and Services (Materials)</w:t>
      </w:r>
    </w:p>
    <w:p>
      <w:pPr>
        <w:pStyle w:val="FirstParagraph"/>
      </w:pPr>
      <w:r>
        <w:t xml:space="preserve">Based on the Detailed Bill of Materials (BOM) analysis:</w:t>
      </w:r>
    </w:p>
    <w:p>
      <w:pPr>
        <w:numPr>
          <w:ilvl w:val="0"/>
          <w:numId w:val="1006"/>
        </w:numPr>
        <w:pStyle w:val="Compact"/>
      </w:pPr>
      <w:r>
        <w:rPr>
          <w:bCs/>
          <w:b/>
        </w:rPr>
        <w:t xml:space="preserve">Total Material Carbon Impact = 21.14 kg CO₂e</w:t>
      </w:r>
    </w:p>
    <w:bookmarkEnd w:id="36"/>
    <w:bookmarkStart w:id="37" w:name="Xaa969e343a7577cc2b615509976030d42d2a4da"/>
    <w:p>
      <w:pPr>
        <w:pStyle w:val="Heading4"/>
      </w:pPr>
      <w:r>
        <w:t xml:space="preserve">4.3.2 Category 4: Upstream and Downstream Transportation and Distribution</w:t>
      </w:r>
    </w:p>
    <w:p>
      <w:pPr>
        <w:pStyle w:val="FirstParagraph"/>
      </w:pPr>
      <w:r>
        <w:t xml:space="preserve">Emissions from product transportation:</w:t>
      </w:r>
    </w:p>
    <w:p>
      <w:pPr>
        <w:numPr>
          <w:ilvl w:val="0"/>
          <w:numId w:val="1007"/>
        </w:numPr>
        <w:pStyle w:val="Compact"/>
      </w:pPr>
      <w:r>
        <w:t xml:space="preserve">Product weight for transport: 1.8 kg/unit = 0.0018 tonne/unit</w:t>
      </w:r>
    </w:p>
    <w:p>
      <w:pPr>
        <w:numPr>
          <w:ilvl w:val="0"/>
          <w:numId w:val="1007"/>
        </w:numPr>
        <w:pStyle w:val="Compact"/>
      </w:pPr>
      <w:r>
        <w:t xml:space="preserve">Ocean Freight Distance: 5000 miles * 1.60934 km/mile = 8046.7 km</w:t>
      </w:r>
    </w:p>
    <w:p>
      <w:pPr>
        <w:numPr>
          <w:ilvl w:val="0"/>
          <w:numId w:val="1007"/>
        </w:numPr>
        <w:pStyle w:val="Compact"/>
      </w:pPr>
      <w:r>
        <w:t xml:space="preserve">Ocean Freight Emissions: 0.0018 tonne/unit * 8046.7 km * 0.018 kg CO₂e/tonne-km = 0.261 kg CO₂e</w:t>
      </w:r>
    </w:p>
    <w:p>
      <w:pPr>
        <w:numPr>
          <w:ilvl w:val="0"/>
          <w:numId w:val="1007"/>
        </w:numPr>
        <w:pStyle w:val="Compact"/>
      </w:pPr>
      <w:r>
        <w:t xml:space="preserve">Last-Mile Delivery (Road Van) Distance: 100 km (assumed)</w:t>
      </w:r>
    </w:p>
    <w:p>
      <w:pPr>
        <w:numPr>
          <w:ilvl w:val="0"/>
          <w:numId w:val="1007"/>
        </w:numPr>
        <w:pStyle w:val="Compact"/>
      </w:pPr>
      <w:r>
        <w:t xml:space="preserve">Road Van Emissions: 0.0018 tonne/unit * 100 km * 0.08 kg CO₂e/tonne-km = 0.0144 kg CO₂e</w:t>
      </w:r>
    </w:p>
    <w:p>
      <w:pPr>
        <w:numPr>
          <w:ilvl w:val="0"/>
          <w:numId w:val="1007"/>
        </w:numPr>
        <w:pStyle w:val="Compact"/>
      </w:pPr>
      <w:r>
        <w:rPr>
          <w:bCs/>
          <w:b/>
        </w:rPr>
        <w:t xml:space="preserve">Total Transport Emissions = 0.261 + 0.0144 = 0.2754 kg CO₂e</w:t>
      </w:r>
    </w:p>
    <w:bookmarkEnd w:id="37"/>
    <w:bookmarkStart w:id="38" w:name="category-11-use-of-sold-products"/>
    <w:p>
      <w:pPr>
        <w:pStyle w:val="Heading4"/>
      </w:pPr>
      <w:r>
        <w:t xml:space="preserve">4.3.3 Category 11: Use of Sold Products</w:t>
      </w:r>
    </w:p>
    <w:p>
      <w:pPr>
        <w:pStyle w:val="FirstParagraph"/>
      </w:pPr>
      <w:r>
        <w:t xml:space="preserve">Emissions from the energy consumption during the product\'s use phase:</w:t>
      </w:r>
    </w:p>
    <w:p>
      <w:pPr>
        <w:numPr>
          <w:ilvl w:val="0"/>
          <w:numId w:val="1008"/>
        </w:numPr>
        <w:pStyle w:val="Compact"/>
      </w:pPr>
      <w:r>
        <w:t xml:space="preserve">Product Lifespan: 5 years</w:t>
      </w:r>
    </w:p>
    <w:p>
      <w:pPr>
        <w:numPr>
          <w:ilvl w:val="0"/>
          <w:numId w:val="1008"/>
        </w:numPr>
        <w:pStyle w:val="Compact"/>
      </w:pPr>
      <w:r>
        <w:t xml:space="preserve">Annual Energy Consumption: 10 kWh/year</w:t>
      </w:r>
    </w:p>
    <w:p>
      <w:pPr>
        <w:numPr>
          <w:ilvl w:val="0"/>
          <w:numId w:val="1008"/>
        </w:numPr>
        <w:pStyle w:val="Compact"/>
      </w:pPr>
      <w:r>
        <w:t xml:space="preserve">Total Energy Consumption over Lifespan: 5 years * 10 kWh/year = 50 kWh/unit</w:t>
      </w:r>
    </w:p>
    <w:p>
      <w:pPr>
        <w:numPr>
          <w:ilvl w:val="0"/>
          <w:numId w:val="1008"/>
        </w:numPr>
        <w:pStyle w:val="Compact"/>
      </w:pPr>
      <w:r>
        <w:t xml:space="preserve">Emission Factor (Europe Average Grid Mix): 0.3 kg CO₂e/kWh</w:t>
      </w:r>
    </w:p>
    <w:p>
      <w:pPr>
        <w:numPr>
          <w:ilvl w:val="0"/>
          <w:numId w:val="1008"/>
        </w:numPr>
        <w:pStyle w:val="Compact"/>
      </w:pPr>
      <w:r>
        <w:rPr>
          <w:bCs/>
          <w:b/>
        </w:rPr>
        <w:t xml:space="preserve">Use Phase Emissions = 50 kWh/unit * 0.3 kg CO₂e/kWh = 15.00 kg CO₂e</w:t>
      </w:r>
    </w:p>
    <w:bookmarkEnd w:id="38"/>
    <w:bookmarkStart w:id="39" w:name="X9f66eef2700632e081dfe139021cb724ffcd2c5"/>
    <w:p>
      <w:pPr>
        <w:pStyle w:val="Heading4"/>
      </w:pPr>
      <w:r>
        <w:t xml:space="preserve">4.3.4 Category 12: End-of-Life Treatment of Sold Products</w:t>
      </w:r>
    </w:p>
    <w:p>
      <w:pPr>
        <w:pStyle w:val="FirstParagraph"/>
      </w:pPr>
      <w:r>
        <w:t xml:space="preserve">Emissions and credits from end-of-life scenarios:</w:t>
      </w:r>
    </w:p>
    <w:p>
      <w:pPr>
        <w:numPr>
          <w:ilvl w:val="0"/>
          <w:numId w:val="1009"/>
        </w:numPr>
        <w:pStyle w:val="Compact"/>
      </w:pPr>
      <w:r>
        <w:t xml:space="preserve">Product weight (for EoL calculation): 1.8 kg/unit</w:t>
      </w:r>
    </w:p>
    <w:p>
      <w:pPr>
        <w:numPr>
          <w:ilvl w:val="0"/>
          <w:numId w:val="1009"/>
        </w:numPr>
        <w:pStyle w:val="Compact"/>
      </w:pPr>
      <w:r>
        <w:t xml:space="preserve">Recyclability Percentage: 70%</w:t>
      </w:r>
    </w:p>
    <w:p>
      <w:pPr>
        <w:numPr>
          <w:ilvl w:val="0"/>
          <w:numId w:val="1009"/>
        </w:numPr>
        <w:pStyle w:val="Compact"/>
      </w:pPr>
      <w:r>
        <w:t xml:space="preserve">Mass Recycled: 1.8 kg/unit * 0.70 = 1.26 kg/unit</w:t>
      </w:r>
    </w:p>
    <w:p>
      <w:pPr>
        <w:numPr>
          <w:ilvl w:val="0"/>
          <w:numId w:val="1009"/>
        </w:numPr>
        <w:pStyle w:val="Compact"/>
      </w:pPr>
      <w:r>
        <w:t xml:space="preserve">Mass Landfilled: 1.8 kg/unit * (1 - 0.70) = 0.54 kg/unit</w:t>
      </w:r>
    </w:p>
    <w:p>
      <w:pPr>
        <w:numPr>
          <w:ilvl w:val="0"/>
          <w:numId w:val="1009"/>
        </w:numPr>
        <w:pStyle w:val="Compact"/>
      </w:pPr>
      <w:r>
        <w:t xml:space="preserve">Emissions from Landfill: 0.54 kg/unit * 1.0 kg CO₂e/kg = 0.54 kg CO₂e</w:t>
      </w:r>
    </w:p>
    <w:p>
      <w:pPr>
        <w:numPr>
          <w:ilvl w:val="0"/>
          <w:numId w:val="1009"/>
        </w:numPr>
        <w:pStyle w:val="Compact"/>
      </w:pPr>
      <w:r>
        <w:t xml:space="preserve">Avoided Emissions from Recycling: 1.26 kg/unit * -1.5 kg CO₂e/kg (illustrative credit) = -1.89 kg CO₂e</w:t>
      </w:r>
    </w:p>
    <w:p>
      <w:pPr>
        <w:numPr>
          <w:ilvl w:val="0"/>
          <w:numId w:val="1009"/>
        </w:numPr>
        <w:pStyle w:val="Compact"/>
      </w:pPr>
      <w:r>
        <w:rPr>
          <w:bCs/>
          <w:b/>
        </w:rPr>
        <w:t xml:space="preserve">Net EoL Emissions = 0.54 - 1.89 = -1.35 kg CO₂e (Credit)</w:t>
      </w:r>
    </w:p>
    <w:p>
      <w:pPr>
        <w:pStyle w:val="FirstParagraph"/>
      </w:pPr>
      <w:r>
        <w:t xml:space="preserve">The presence of</w:t>
      </w:r>
      <w:r>
        <w:t xml:space="preserve"> </w:t>
      </w:r>
      <w:r>
        <w:rPr>
          <w:bCs/>
          <w:b/>
        </w:rPr>
        <w:t xml:space="preserve">Circular/Take-back Programs (qdjikxqjfh: Yes)</w:t>
      </w:r>
      <w:r>
        <w:t xml:space="preserve"> </w:t>
      </w:r>
      <w:r>
        <w:t xml:space="preserve">further supports the effective management of end-of-life materials and enhances the potential for higher recycling rates and material recovery in practice, contributing to these avoided emissions.</w:t>
      </w:r>
    </w:p>
    <w:bookmarkEnd w:id="39"/>
    <w:bookmarkEnd w:id="40"/>
    <w:bookmarkStart w:id="41" w:name="X4ac028bbb1f5097804b01b6e4ec14de805490a5"/>
    <w:p>
      <w:pPr>
        <w:pStyle w:val="Heading3"/>
      </w:pPr>
      <w:r>
        <w:t xml:space="preserve">4.4 Land Sector and Removals (LSR) Application (2026 Update)</w:t>
      </w:r>
    </w:p>
    <w:p>
      <w:pPr>
        <w:pStyle w:val="FirstParagraph"/>
      </w:pPr>
      <w:r>
        <w:t xml:space="preserve">The GHG Protocol\'s 2026 LSR Standard is designed to account for land use change and carbon removals. While specific primary data for land use impacts of each raw material within</w:t>
      </w:r>
      <w:r>
        <w:t xml:space="preserve"> </w:t>
      </w:r>
      <w:r>
        <w:rPr>
          <w:bCs/>
          <w:b/>
        </w:rPr>
        <w:t xml:space="preserve">npiujydiql</w:t>
      </w:r>
      <w:r>
        <w:t xml:space="preserve">\'s BOM (mdvulwyq) is not available, the emission factors utilized implicitly account for average land use impacts associated with their production. For a more precise LSR application, detailed primary data on land sourcing for bio-based materials (if any) and carbon sequestration potentials would be required. The inclusion of a recycling credit in EoL reflects a form of carbon removal through avoided virgin production, aligning with the spirit of circularity promoted by the LSR standard.</w:t>
      </w:r>
    </w:p>
    <w:bookmarkEnd w:id="41"/>
    <w:bookmarkStart w:id="42" w:name="summary-of-product-carbon-footprint"/>
    <w:p>
      <w:pPr>
        <w:pStyle w:val="Heading3"/>
      </w:pPr>
      <w:r>
        <w:t xml:space="preserve">4.5 Summary of Product Carbon Footprint</w:t>
      </w:r>
    </w:p>
    <w:p>
      <w:pPr>
        <w:pStyle w:val="FirstParagraph"/>
      </w:pPr>
      <w:r>
        <w:t xml:space="preserve">The total illustrative Product Carbon Footprint for one functional unit of</w:t>
      </w:r>
      <w:r>
        <w:t xml:space="preserve"> </w:t>
      </w:r>
      <w:r>
        <w:rPr>
          <w:bCs/>
          <w:b/>
        </w:rPr>
        <w:t xml:space="preserve">npiujydiql</w:t>
      </w:r>
      <w:r>
        <w:t xml:space="preserve"> </w:t>
      </w:r>
      <w:r>
        <w:t xml:space="preserve">is calculated as follows: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CO₂e/unit)</w:t>
            </w:r>
          </w:p>
        </w:tc>
      </w:tr>
      <w:tr>
        <w:tc>
          <w:tcPr/>
          <w:p>
            <w:pPr>
              <w:pStyle w:val="Compact"/>
              <w:jc w:val="left"/>
            </w:pPr>
            <w:r>
              <w:t xml:space="preserve">Materials</w:t>
            </w:r>
          </w:p>
        </w:tc>
        <w:tc>
          <w:tcPr/>
          <w:p>
            <w:pPr>
              <w:pStyle w:val="Compact"/>
              <w:jc w:val="left"/>
            </w:pPr>
            <w:r>
              <w:t xml:space="preserve">Scope 3, Cat 1</w:t>
            </w:r>
          </w:p>
        </w:tc>
        <w:tc>
          <w:tcPr/>
          <w:p>
            <w:pPr>
              <w:pStyle w:val="Compact"/>
              <w:jc w:val="left"/>
            </w:pPr>
            <w:r>
              <w:t xml:space="preserve">Purchased Goods &amp; Services</w:t>
            </w:r>
          </w:p>
        </w:tc>
        <w:tc>
          <w:tcPr/>
          <w:p>
            <w:pPr>
              <w:pStyle w:val="Compact"/>
              <w:jc w:val="left"/>
            </w:pPr>
            <w:r>
              <w:t xml:space="preserve">21.14</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Purchased Electricity (China)</w:t>
            </w:r>
          </w:p>
        </w:tc>
        <w:tc>
          <w:tcPr/>
          <w:p>
            <w:pPr>
              <w:pStyle w:val="Compact"/>
              <w:jc w:val="left"/>
            </w:pPr>
            <w:r>
              <w:t xml:space="preserve">0.70</w:t>
            </w:r>
          </w:p>
        </w:tc>
      </w:tr>
      <w:tr>
        <w:tc>
          <w:tcPr/>
          <w:p>
            <w:pPr>
              <w:pStyle w:val="Compact"/>
              <w:jc w:val="left"/>
            </w:pPr>
            <w:r>
              <w:t xml:space="preserve">Transportation</w:t>
            </w:r>
          </w:p>
        </w:tc>
        <w:tc>
          <w:tcPr/>
          <w:p>
            <w:pPr>
              <w:pStyle w:val="Compact"/>
              <w:jc w:val="left"/>
            </w:pPr>
            <w:r>
              <w:t xml:space="preserve">Scope 3, Cat 4</w:t>
            </w:r>
          </w:p>
        </w:tc>
        <w:tc>
          <w:tcPr/>
          <w:p>
            <w:pPr>
              <w:pStyle w:val="Compact"/>
              <w:jc w:val="left"/>
            </w:pPr>
            <w:r>
              <w:t xml:space="preserve">Upstream &amp; Downstream Logistics</w:t>
            </w:r>
          </w:p>
        </w:tc>
        <w:tc>
          <w:tcPr/>
          <w:p>
            <w:pPr>
              <w:pStyle w:val="Compact"/>
              <w:jc w:val="left"/>
            </w:pPr>
            <w:r>
              <w:t xml:space="preserve">0.2754</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Energy Consumption during Use</w:t>
            </w:r>
          </w:p>
        </w:tc>
        <w:tc>
          <w:tcPr/>
          <w:p>
            <w:pPr>
              <w:pStyle w:val="Compact"/>
              <w:jc w:val="left"/>
            </w:pPr>
            <w:r>
              <w:t xml:space="preserve">15.00</w:t>
            </w:r>
          </w:p>
        </w:tc>
      </w:tr>
      <w:tr>
        <w:tc>
          <w:tcPr/>
          <w:p>
            <w:pPr>
              <w:pStyle w:val="Compact"/>
              <w:jc w:val="left"/>
            </w:pPr>
            <w:r>
              <w:t xml:space="preserve">End-of-Life</w:t>
            </w:r>
          </w:p>
        </w:tc>
        <w:tc>
          <w:tcPr/>
          <w:p>
            <w:pPr>
              <w:pStyle w:val="Compact"/>
              <w:jc w:val="left"/>
            </w:pPr>
            <w:r>
              <w:t xml:space="preserve">Scope 3, Cat 12</w:t>
            </w:r>
          </w:p>
        </w:tc>
        <w:tc>
          <w:tcPr/>
          <w:p>
            <w:pPr>
              <w:pStyle w:val="Compact"/>
              <w:jc w:val="left"/>
            </w:pPr>
            <w:r>
              <w:t xml:space="preserve">Treatment of Sold Products</w:t>
            </w:r>
          </w:p>
        </w:tc>
        <w:tc>
          <w:tcPr/>
          <w:p>
            <w:pPr>
              <w:pStyle w:val="Compact"/>
              <w:jc w:val="left"/>
            </w:pPr>
            <w:r>
              <w:t xml:space="preserve">-1.35</w:t>
            </w:r>
          </w:p>
        </w:tc>
      </w:tr>
      <w:tr>
        <w:tc>
          <w:tcPr>
            <w:gridSpan w:val="3"/>
          </w:tcPr>
          <w:p>
            <w:pPr>
              <w:pStyle w:val="Compact"/>
              <w:jc w:val="right"/>
            </w:pPr>
            <w:r>
              <w:rPr>
                <w:bCs/>
                <w:b/>
              </w:rPr>
              <w:t xml:space="preserve">Total Product Carbon Footprint (PCF) for npiujydiql:</w:t>
            </w:r>
          </w:p>
        </w:tc>
        <w:tc>
          <w:tcPr/>
          <w:p>
            <w:pPr>
              <w:pStyle w:val="Compact"/>
              <w:jc w:val="left"/>
            </w:pPr>
            <w:r>
              <w:rPr>
                <w:bCs/>
                <w:b/>
              </w:rPr>
              <w:t xml:space="preserve">35.7654</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hotspot-identification"/>
    <w:p>
      <w:pPr>
        <w:pStyle w:val="Heading3"/>
      </w:pPr>
      <w:r>
        <w:t xml:space="preserve">5.1 Hotspot Identification</w:t>
      </w:r>
    </w:p>
    <w:p>
      <w:pPr>
        <w:pStyle w:val="FirstParagraph"/>
      </w:pPr>
      <w:r>
        <w:t xml:space="preserve">Based on this illustrative analysis, the primary emission hotspots for</w:t>
      </w:r>
      <w:r>
        <w:t xml:space="preserve"> </w:t>
      </w:r>
      <w:r>
        <w:rPr>
          <w:bCs/>
          <w:b/>
        </w:rPr>
        <w:t xml:space="preserve">npiujydiql</w:t>
      </w:r>
      <w:r>
        <w:t xml:space="preserve"> </w:t>
      </w:r>
      <w:r>
        <w:t xml:space="preserve">are:</w:t>
      </w:r>
    </w:p>
    <w:p>
      <w:pPr>
        <w:numPr>
          <w:ilvl w:val="0"/>
          <w:numId w:val="1010"/>
        </w:numPr>
        <w:pStyle w:val="Compact"/>
      </w:pPr>
      <w:r>
        <w:rPr>
          <w:bCs/>
          <w:b/>
        </w:rPr>
        <w:t xml:space="preserve">Materials (Scope 3, Category 1):</w:t>
      </w:r>
      <w:r>
        <w:t xml:space="preserve"> </w:t>
      </w:r>
      <w:r>
        <w:t xml:space="preserve">Constituting the largest share, particularly due to the high embedded emissions in components like Copper Wire and Aluminum Casing. This highlights the importance of material selection and supply chain transparency.</w:t>
      </w:r>
    </w:p>
    <w:p>
      <w:pPr>
        <w:numPr>
          <w:ilvl w:val="0"/>
          <w:numId w:val="1010"/>
        </w:numPr>
        <w:pStyle w:val="Compact"/>
      </w:pPr>
      <w:r>
        <w:rPr>
          <w:bCs/>
          <w:b/>
        </w:rPr>
        <w:t xml:space="preserve">Use Phase (Scope 3, Category 11):</w:t>
      </w:r>
      <w:r>
        <w:t xml:space="preserve"> </w:t>
      </w:r>
      <w:r>
        <w:t xml:space="preserve">The energy consumption during the product\'s</w:t>
      </w:r>
      <w:r>
        <w:t xml:space="preserve"> </w:t>
      </w:r>
      <w:r>
        <w:rPr>
          <w:bCs/>
          <w:b/>
        </w:rPr>
        <w:t xml:space="preserve">souudluzzk (5 years)</w:t>
      </w:r>
      <w:r>
        <w:t xml:space="preserve"> </w:t>
      </w:r>
      <w:r>
        <w:t xml:space="preserve">lifespan contributes significantly, especially given the assumed electricity mix in Europe.</w:t>
      </w:r>
    </w:p>
    <w:p>
      <w:pPr>
        <w:numPr>
          <w:ilvl w:val="0"/>
          <w:numId w:val="1010"/>
        </w:numPr>
        <w:pStyle w:val="Compact"/>
      </w:pPr>
      <w:r>
        <w:rPr>
          <w:bCs/>
          <w:b/>
        </w:rPr>
        <w:t xml:space="preserve">End-of-Life (Scope 3, Category 12):</w:t>
      </w:r>
      <w:r>
        <w:t xml:space="preserve"> </w:t>
      </w:r>
      <w:r>
        <w:t xml:space="preserve">While high recyclability (</w:t>
      </w:r>
      <w:r>
        <w:rPr>
          <w:bCs/>
          <w:b/>
        </w:rPr>
        <w:t xml:space="preserve">ljgnzidmzp: 70%</w:t>
      </w:r>
      <w:r>
        <w:t xml:space="preserve">) and</w:t>
      </w:r>
      <w:r>
        <w:t xml:space="preserve"> </w:t>
      </w:r>
      <w:r>
        <w:rPr>
          <w:bCs/>
          <w:b/>
        </w:rPr>
        <w:t xml:space="preserve">Circular/Take-back Programs (qdjikxqjfh: Yes)</w:t>
      </w:r>
      <w:r>
        <w:t xml:space="preserve"> </w:t>
      </w:r>
      <w:r>
        <w:t xml:space="preserve">lead to a net credit, optimizing material recovery and reducing landfilling remain crucial.</w:t>
      </w:r>
    </w:p>
    <w:bookmarkEnd w:id="44"/>
    <w:bookmarkStart w:id="45" w:name="reliability-and-limitations"/>
    <w:p>
      <w:pPr>
        <w:pStyle w:val="Heading3"/>
      </w:pPr>
      <w:r>
        <w:t xml:space="preserve">5.2 Reliability and Limitations</w:t>
      </w:r>
    </w:p>
    <w:p>
      <w:pPr>
        <w:pStyle w:val="FirstParagraph"/>
      </w:pPr>
      <w:r>
        <w:t xml:space="preserve">The reliability of this report is directly dependent on the accuracy and completeness of the provided parameters and the generic industry-average emission factors used. As</w:t>
      </w:r>
      <w:r>
        <w:t xml:space="preserve"> </w:t>
      </w:r>
      <w:r>
        <w:rPr>
          <w:bCs/>
          <w:b/>
        </w:rPr>
        <w:t xml:space="preserve">xqsqvxptnz</w:t>
      </w:r>
      <w:r>
        <w:t xml:space="preserve">, Senior Sustainability Consultant, I affirm that the methodology adheres to GHG Protocol standards. However, actual values may vary with primary supplier-specific data, precise energy mix for each facility, and detailed transport routes and load factors. The numerical values presented are illustrative and serve as a robust baseline for further investigation.</w:t>
      </w:r>
    </w:p>
    <w:bookmarkEnd w:id="45"/>
    <w:bookmarkStart w:id="46" w:name="recommendations-for-emission-reduction"/>
    <w:p>
      <w:pPr>
        <w:pStyle w:val="Heading3"/>
      </w:pPr>
      <w:r>
        <w:t xml:space="preserve">5.3 Recommendations for Emission Reduction</w:t>
      </w:r>
    </w:p>
    <w:p>
      <w:pPr>
        <w:pStyle w:val="FirstParagraph"/>
      </w:pPr>
      <w:r>
        <w:t xml:space="preserve">To reduce the Product Carbon Footprint of</w:t>
      </w:r>
      <w:r>
        <w:t xml:space="preserve"> </w:t>
      </w:r>
      <w:r>
        <w:rPr>
          <w:bCs/>
          <w:b/>
        </w:rPr>
        <w:t xml:space="preserve">npiujydiql</w:t>
      </w:r>
      <w:r>
        <w:t xml:space="preserve">,</w:t>
      </w:r>
      <w:r>
        <w:t xml:space="preserve"> </w:t>
      </w:r>
      <w:r>
        <w:rPr>
          <w:bCs/>
          <w:b/>
        </w:rPr>
        <w:t xml:space="preserve">vhlmrnllos</w:t>
      </w:r>
      <w:r>
        <w:t xml:space="preserve"> </w:t>
      </w:r>
      <w:r>
        <w:t xml:space="preserve">should consider:</w:t>
      </w:r>
    </w:p>
    <w:p>
      <w:pPr>
        <w:numPr>
          <w:ilvl w:val="0"/>
          <w:numId w:val="1011"/>
        </w:numPr>
        <w:pStyle w:val="Compact"/>
      </w:pPr>
      <w:r>
        <w:rPr>
          <w:bCs/>
          <w:b/>
        </w:rPr>
        <w:t xml:space="preserve">Material Optimization:</w:t>
      </w:r>
      <w:r>
        <w:t xml:space="preserve"> </w:t>
      </w:r>
      <w:r>
        <w:t xml:space="preserve">Explore lower carbon alternatives for high-impact materials (e.g., secondary/recycled aluminum and plastics with certified low-carbon footprints). Engage with suppliers to obtain primary emission data and identify opportunities for material efficiency and design for disassembly.</w:t>
      </w:r>
    </w:p>
    <w:p>
      <w:pPr>
        <w:numPr>
          <w:ilvl w:val="0"/>
          <w:numId w:val="1011"/>
        </w:numPr>
        <w:pStyle w:val="Compact"/>
      </w:pPr>
      <w:r>
        <w:rPr>
          <w:bCs/>
          <w:b/>
        </w:rPr>
        <w:t xml:space="preserve">Renewable Energy Integration:</w:t>
      </w:r>
      <w:r>
        <w:t xml:space="preserve"> </w:t>
      </w:r>
      <w:r>
        <w:t xml:space="preserve">Further increase renewable energy usage beyond</w:t>
      </w:r>
      <w:r>
        <w:t xml:space="preserve"> </w:t>
      </w:r>
      <w:r>
        <w:rPr>
          <w:bCs/>
          <w:b/>
        </w:rPr>
        <w:t xml:space="preserve">pgeifkvjgd (50%)</w:t>
      </w:r>
      <w:r>
        <w:t xml:space="preserve"> </w:t>
      </w:r>
      <w:r>
        <w:t xml:space="preserve">in manufacturing operations in China, and advocate for renewable energy sources in the product\'s use phase, particularly in regions with higher grid emission factors.</w:t>
      </w:r>
    </w:p>
    <w:p>
      <w:pPr>
        <w:numPr>
          <w:ilvl w:val="0"/>
          <w:numId w:val="1011"/>
        </w:numPr>
        <w:pStyle w:val="Compact"/>
      </w:pPr>
      <w:r>
        <w:rPr>
          <w:bCs/>
          <w:b/>
        </w:rPr>
        <w:t xml:space="preserve">Energy Efficiency in Use:</w:t>
      </w:r>
      <w:r>
        <w:t xml:space="preserve"> </w:t>
      </w:r>
      <w:r>
        <w:t xml:space="preserve">Investigate opportunities to reduce</w:t>
      </w:r>
      <w:r>
        <w:t xml:space="preserve"> </w:t>
      </w:r>
      <w:r>
        <w:rPr>
          <w:bCs/>
          <w:b/>
        </w:rPr>
        <w:t xml:space="preserve">sfvvqudvlq (10 kWh/year)</w:t>
      </w:r>
      <w:r>
        <w:t xml:space="preserve"> </w:t>
      </w:r>
      <w:r>
        <w:t xml:space="preserve">energy consumption during the</w:t>
      </w:r>
      <w:r>
        <w:t xml:space="preserve"> </w:t>
      </w:r>
      <w:r>
        <w:rPr>
          <w:bCs/>
          <w:b/>
        </w:rPr>
        <w:t xml:space="preserve">souudluzzk (5 years)</w:t>
      </w:r>
      <w:r>
        <w:t xml:space="preserve"> </w:t>
      </w:r>
      <w:r>
        <w:t xml:space="preserve">lifespan of</w:t>
      </w:r>
      <w:r>
        <w:t xml:space="preserve"> </w:t>
      </w:r>
      <w:r>
        <w:rPr>
          <w:bCs/>
          <w:b/>
        </w:rPr>
        <w:t xml:space="preserve">npiujydiql</w:t>
      </w:r>
      <w:r>
        <w:t xml:space="preserve"> </w:t>
      </w:r>
      <w:r>
        <w:t xml:space="preserve">through design improvements and energy-efficient components.</w:t>
      </w:r>
    </w:p>
    <w:p>
      <w:pPr>
        <w:numPr>
          <w:ilvl w:val="0"/>
          <w:numId w:val="1011"/>
        </w:numPr>
        <w:pStyle w:val="Compact"/>
      </w:pPr>
      <w:r>
        <w:rPr>
          <w:bCs/>
          <w:b/>
        </w:rPr>
        <w:t xml:space="preserve">Supply Chain Engagement:</w:t>
      </w:r>
      <w:r>
        <w:t xml:space="preserve"> </w:t>
      </w:r>
      <w:r>
        <w:t xml:space="preserve">Work with logistics partners to optimize transport modes and routes, potentially shifting more volume to lower-emission modes where feasible, and improving load factors.</w:t>
      </w:r>
    </w:p>
    <w:p>
      <w:pPr>
        <w:numPr>
          <w:ilvl w:val="0"/>
          <w:numId w:val="1011"/>
        </w:numPr>
        <w:pStyle w:val="Compact"/>
      </w:pPr>
      <w:r>
        <w:rPr>
          <w:bCs/>
          <w:b/>
        </w:rPr>
        <w:t xml:space="preserve">Circular Economy Advancement:</w:t>
      </w:r>
      <w:r>
        <w:t xml:space="preserve"> </w:t>
      </w:r>
      <w:r>
        <w:t xml:space="preserve">Leverage</w:t>
      </w:r>
      <w:r>
        <w:t xml:space="preserve"> </w:t>
      </w:r>
      <w:r>
        <w:rPr>
          <w:bCs/>
          <w:b/>
        </w:rPr>
        <w:t xml:space="preserve">qdjikxqjfh (Yes)</w:t>
      </w:r>
      <w:r>
        <w:t xml:space="preserve"> </w:t>
      </w:r>
      <w:r>
        <w:t xml:space="preserve">Circular/Take-back Programs to maximize the collection and recycling rates beyond</w:t>
      </w:r>
      <w:r>
        <w:t xml:space="preserve"> </w:t>
      </w:r>
      <w:r>
        <w:rPr>
          <w:bCs/>
          <w:b/>
        </w:rPr>
        <w:t xml:space="preserve">ljgnzidmzp (70%)</w:t>
      </w:r>
      <w:r>
        <w:t xml:space="preserve">, striving for closed-loop systems for key materials.</w:t>
      </w:r>
    </w:p>
    <w:p>
      <w:pPr>
        <w:numPr>
          <w:ilvl w:val="0"/>
          <w:numId w:val="1011"/>
        </w:numPr>
        <w:pStyle w:val="Compact"/>
      </w:pPr>
      <w:r>
        <w:rPr>
          <w:bCs/>
          <w:b/>
        </w:rPr>
        <w:t xml:space="preserve">Data Granularity:</w:t>
      </w:r>
      <w:r>
        <w:t xml:space="preserve"> </w:t>
      </w:r>
      <w:r>
        <w:t xml:space="preserve">Prioritize collecting primary data for all significant emission sources to refine PCF accuracy and uncover more specific reduction levers.</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npiujydiql</dc:title>
  <dc:creator/>
  <dc:description>Detailed Product Carbon Footprint (PCF) analysis report for npiujydiql, conducted by xqsqvxptnz, Senior Sustainability Consultant at vhlmrnllos, adhering to GHG Protocol standards and 2026 LSR updates.</dc:description>
  <dc:language>en</dc:language>
  <cp:keywords/>
  <dcterms:created xsi:type="dcterms:W3CDTF">2026-05-30T16:49:16Z</dcterms:created>
  <dcterms:modified xsi:type="dcterms:W3CDTF">2026-05-30T16:49:16Z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