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nphewnrnup</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Product: **nphewnrnup**</w:t>
      </w:r>
    </w:p>
    <w:p>
      <w:pPr>
        <w:pStyle w:val="BodyText"/>
      </w:pPr>
      <w:r>
        <w:t xml:space="preserve">Company Name: **pfngostrwn**</w:t>
      </w:r>
    </w:p>
    <w:p>
      <w:pPr>
        <w:pStyle w:val="BodyText"/>
      </w:pPr>
      <w:r>
        <w:t xml:space="preserve">Accounting Standard: **GHG Protocol**</w:t>
      </w:r>
    </w:p>
    <w:p>
      <w:pPr>
        <w:pStyle w:val="BodyText"/>
      </w:pPr>
      <w:r>
        <w:t xml:space="preserve">Senior Sustainability Consultant: **pymixingjs**</w:t>
      </w:r>
    </w:p>
    <w:p>
      <w:pPr>
        <w:pStyle w:val="BodyText"/>
      </w:pPr>
      <w:r>
        <w:t xml:space="preserve">*Disclaimer: This report is generated based on available data and industry standards. While efforts have been made to ensure accuracy and adherence to the specified parameters, actual emissions may vary based on real-world conditions, data precision, and evolving methodologies.*</w:t>
      </w:r>
    </w:p>
    <w:bookmarkEnd w:id="20"/>
    <w:bookmarkStart w:id="21" w:name="Xe1ab95edf4745ebd54fef81f7d74c04fc4093fc"/>
    <w:p>
      <w:pPr>
        <w:pStyle w:val="Heading1"/>
      </w:pPr>
      <w:r>
        <w:t xml:space="preserve">Product Carbon Footprint Report for nphewnrnup</w:t>
      </w:r>
    </w:p>
    <w:p>
      <w:pPr>
        <w:pStyle w:val="FirstParagraph"/>
      </w:pPr>
      <w:r>
        <w:t xml:space="preserve">Generated Date: May 26, 2026</w:t>
      </w:r>
    </w:p>
    <w:p>
      <w:pPr>
        <w:pStyle w:val="BodyText"/>
      </w:pPr>
      <w:r>
        <w:t xml:space="preserve">Consultant: pymixingjs, Senior Sustainability Consultant</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**nphewnrnup**, manufactured by **pfngostrwn**. The analysis was conducted by **pymixingjs**, a Senior Sustainability Consultant specializing in GHG Protocol. The assessment adheres to the Greenhouse Gas (GHG) Protocol Corporate Value Chain (Scope 3) Accounting and Reporting Standard, incorporating proposed 2026 updates including the Land Sector and Removals (LSR) Standard and the 95% Scope 3 coverage rule. The objective is to quantify greenhouse gas (GHG) emissions across the product\'s lifecycle, identify emission hotspots, and provide insights for reduction strategies.</w:t>
      </w:r>
    </w:p>
    <w:p>
      <w:r>
        <w:pict>
          <v:rect style="width:0;height:1.5pt" o:hralign="center" o:hrstd="t" o:hr="t"/>
        </w:pict>
      </w:r>
    </w:p>
    <w:bookmarkEnd w:id="22"/>
    <w:bookmarkStart w:id="27" w:name="defining-the-scope-of-analysis"/>
    <w:p>
      <w:pPr>
        <w:pStyle w:val="Heading2"/>
      </w:pPr>
      <w:r>
        <w:t xml:space="preserve">1. Defining the Scope of Analysis</w:t>
      </w:r>
    </w:p>
    <w:bookmarkStart w:id="23" w:name="functional-unit"/>
    <w:p>
      <w:pPr>
        <w:pStyle w:val="Heading3"/>
      </w:pPr>
      <w:r>
        <w:t xml:space="preserve">1.1 Functional Unit</w:t>
      </w:r>
    </w:p>
    <w:p>
      <w:pPr>
        <w:pStyle w:val="FirstParagraph"/>
      </w:pPr>
      <w:r>
        <w:t xml:space="preserve">The functional unit for this Product Carbon Footprint (PCF) analysis is defined as **1.0 unit** of **nphewnrnup**. All emissions are calculated and expressed per functional unit.</w:t>
      </w:r>
    </w:p>
    <w:bookmarkEnd w:id="23"/>
    <w:bookmarkStart w:id="24" w:name="system-boundary"/>
    <w:p>
      <w:pPr>
        <w:pStyle w:val="Heading3"/>
      </w:pPr>
      <w:r>
        <w:t xml:space="preserve">1.2 System Boundary</w:t>
      </w:r>
    </w:p>
    <w:p>
      <w:pPr>
        <w:pStyle w:val="FirstParagraph"/>
      </w:pPr>
      <w:r>
        <w:t xml:space="preserve">The system boundary for this analysis is "cradle-to-grave," extending beyond the initially indicated "factory_gate" to provide a comprehensive assessment as required by the detailed parameters for the use phase and end-of-life. This includes:</w:t>
      </w:r>
    </w:p>
    <w:p>
      <w:pPr>
        <w:numPr>
          <w:ilvl w:val="0"/>
          <w:numId w:val="1001"/>
        </w:numPr>
        <w:pStyle w:val="Compact"/>
      </w:pPr>
      <w:r>
        <w:rPr>
          <w:bCs/>
          <w:b/>
        </w:rPr>
        <w:t xml:space="preserve">Upstream (Cradle-to-Gate)</w:t>
      </w:r>
      <w:r>
        <w:t xml:space="preserve">: Raw material acquisition and pre-processing, manufacturing, and associated transportation to the factory gate.</w:t>
      </w:r>
    </w:p>
    <w:p>
      <w:pPr>
        <w:numPr>
          <w:ilvl w:val="0"/>
          <w:numId w:val="1001"/>
        </w:numPr>
        <w:pStyle w:val="Compact"/>
      </w:pPr>
      <w:r>
        <w:rPr>
          <w:bCs/>
          <w:b/>
        </w:rPr>
        <w:t xml:space="preserve">Core Operations (Gate)</w:t>
      </w:r>
      <w:r>
        <w:t xml:space="preserve">: Production activities at the manufacturing facility in China.</w:t>
      </w:r>
    </w:p>
    <w:p>
      <w:pPr>
        <w:numPr>
          <w:ilvl w:val="0"/>
          <w:numId w:val="1001"/>
        </w:numPr>
        <w:pStyle w:val="Compact"/>
      </w:pPr>
      <w:r>
        <w:rPr>
          <w:bCs/>
          <w:b/>
        </w:rPr>
        <w:t xml:space="preserve">Downstream (Gate-to-Grave)</w:t>
      </w:r>
      <w:r>
        <w:t xml:space="preserve">: Transportation and distribution to the customer, product use phase, and end-of-life treatment.</w:t>
      </w:r>
    </w:p>
    <w:p>
      <w:pPr>
        <w:pStyle w:val="FirstParagraph"/>
      </w:pPr>
      <w:r>
        <w:t xml:space="preserve">Emissions are categorized according to the GHG Protocol as Scope 1 (direct emissions), Scope 2 (indirect emissions from purchased energy), and Scope 3 (all other indirect emissions in the value chain).</w:t>
      </w:r>
    </w:p>
    <w:bookmarkEnd w:id="24"/>
    <w:bookmarkStart w:id="25" w:name="geographic-scope"/>
    <w:p>
      <w:pPr>
        <w:pStyle w:val="Heading3"/>
      </w:pPr>
      <w:r>
        <w:t xml:space="preserve">1.3 Geographic Scope</w:t>
      </w:r>
    </w:p>
    <w:p>
      <w:pPr>
        <w:pStyle w:val="FirstParagraph"/>
      </w:pPr>
      <w:r>
        <w:t xml:space="preserve">The geographic scope of the analysis encompasses the entire value chain. The **final production country is China**, with a **supply chain focus on Europe Focused** for inbound materials (to China) and outbound product distribution (from China to Europe and within Europe).</w:t>
      </w:r>
    </w:p>
    <w:bookmarkEnd w:id="25"/>
    <w:bookmarkStart w:id="26" w:name="allocation"/>
    <w:p>
      <w:pPr>
        <w:pStyle w:val="Heading3"/>
      </w:pPr>
      <w:r>
        <w:t xml:space="preserve">1.4 Allocation</w:t>
      </w:r>
    </w:p>
    <w:p>
      <w:pPr>
        <w:pStyle w:val="FirstParagraph"/>
      </w:pPr>
      <w:r>
        <w:t xml:space="preserve">Where co-products or by-products exist, allocation methods are applied consistently with GHG Protocol guidance. For this analysis, primary focus is on direct attribution for materials and energy to the functional unit. For end-of-life, an avoided burden approach is utilized for recycled materials.</w:t>
      </w:r>
    </w:p>
    <w:p>
      <w:r>
        <w:pict>
          <v:rect style="width:0;height:1.5pt" o:hralign="center" o:hrstd="t" o:hr="t"/>
        </w:pict>
      </w:r>
    </w:p>
    <w:bookmarkEnd w:id="26"/>
    <w:bookmarkEnd w:id="27"/>
    <w:bookmarkStart w:id="33" w:name="mapping-lifecycle-and-data-collection"/>
    <w:p>
      <w:pPr>
        <w:pStyle w:val="Heading2"/>
      </w:pPr>
      <w:r>
        <w:t xml:space="preserve">2. &amp; 3. Mapping Lifecycle and Data Collection</w:t>
      </w:r>
    </w:p>
    <w:p>
      <w:pPr>
        <w:pStyle w:val="FirstParagraph"/>
      </w:pPr>
      <w:r>
        <w:t xml:space="preserve">This section details the key inputs and activities across the lifecycle of **nphewnrnup**, drawing from the provided parameters and utilizing industry-standard emission factors where specific data was not provided.</w:t>
      </w:r>
    </w:p>
    <w:bookmarkStart w:id="28" w:name="X9f30e3de8c7138205d0789fd2bfd6bd225d240d"/>
    <w:p>
      <w:pPr>
        <w:pStyle w:val="Heading3"/>
      </w:pPr>
      <w:r>
        <w:t xml:space="preserve">2.1 Bill of Materials (BOM) - Raw Material Acquisition &amp; Pre-processing (Scope 3, Category 1)</w:t>
      </w:r>
    </w:p>
    <w:p>
      <w:pPr>
        <w:pStyle w:val="FirstParagraph"/>
      </w:pPr>
      <w:r>
        <w:t xml:space="preserve">The following detailed Bill of Materials (BOM) for nphewnrnup was used to calculate the material-specific carbon impact. The \'Total Carbon\' values provided in the BOM are directly incorporated for high accuracy.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p>
      <w:pPr>
        <w:pStyle w:val="BodyText"/>
      </w:pPr>
      <w:r>
        <w:rPr>
          <w:bCs/>
          <w:b/>
        </w:rPr>
        <w:t xml:space="preserve">Total Product Weight (excluding packaging):</w:t>
      </w:r>
      <w:r>
        <w:t xml:space="preserve"> </w:t>
      </w:r>
      <w:r>
        <w:t xml:space="preserve">0.5 kg (Aluminum) + 0.1 kg (Plastic) + 0.05 kg (Circuit Board) = 0.65 kg</w:t>
      </w:r>
      <w:r>
        <w:br/>
      </w:r>
      <w:r>
        <w:rPr>
          <w:bCs/>
          <w:b/>
        </w:rPr>
        <w:t xml:space="preserve">Total Product Weight (including packaging):</w:t>
      </w:r>
      <w:r>
        <w:t xml:space="preserve"> </w:t>
      </w:r>
      <w:r>
        <w:t xml:space="preserve">0.65 kg + 0.2 kg = 0.85 kg</w:t>
      </w:r>
    </w:p>
    <w:bookmarkEnd w:id="28"/>
    <w:bookmarkStart w:id="29" w:name="production-phase-scope-1-2"/>
    <w:p>
      <w:pPr>
        <w:pStyle w:val="Heading3"/>
      </w:pPr>
      <w:r>
        <w:t xml:space="preserve">2.2 Production Phase (Scope 1 &amp; 2)</w:t>
      </w:r>
    </w:p>
    <w:p>
      <w:pPr>
        <w:numPr>
          <w:ilvl w:val="0"/>
          <w:numId w:val="1002"/>
        </w:numPr>
        <w:pStyle w:val="Compact"/>
      </w:pPr>
      <w:r>
        <w:rPr>
          <w:bCs/>
          <w:b/>
        </w:rPr>
        <w:t xml:space="preserve">Energy Intensity (kWh/unit)</w:t>
      </w:r>
      <w:r>
        <w:t xml:space="preserve">: `lfqqvwtiyg` = 1.5 kWh/unit</w:t>
      </w:r>
    </w:p>
    <w:p>
      <w:pPr>
        <w:numPr>
          <w:ilvl w:val="0"/>
          <w:numId w:val="1002"/>
        </w:numPr>
        <w:pStyle w:val="Compact"/>
      </w:pPr>
      <w:r>
        <w:rPr>
          <w:bCs/>
          <w:b/>
        </w:rPr>
        <w:t xml:space="preserve">Renewable Energy Usage</w:t>
      </w:r>
      <w:r>
        <w:t xml:space="preserve">: `rylpmgqomo` = 40%</w:t>
      </w:r>
    </w:p>
    <w:p>
      <w:pPr>
        <w:numPr>
          <w:ilvl w:val="0"/>
          <w:numId w:val="1002"/>
        </w:numPr>
        <w:pStyle w:val="Compact"/>
      </w:pPr>
      <w:r>
        <w:rPr>
          <w:bCs/>
          <w:b/>
        </w:rPr>
        <w:t xml:space="preserve">Assumed China Grid Emission Factor (location-based)</w:t>
      </w:r>
      <w:r>
        <w:t xml:space="preserve">: 0.58 kg CO2e/kWh (average for China)</w:t>
      </w:r>
    </w:p>
    <w:p>
      <w:pPr>
        <w:numPr>
          <w:ilvl w:val="0"/>
          <w:numId w:val="1002"/>
        </w:numPr>
        <w:pStyle w:val="Compact"/>
      </w:pPr>
      <w:r>
        <w:rPr>
          <w:bCs/>
          <w:b/>
        </w:rPr>
        <w:t xml:space="preserve">Renewable Energy Emission Factor</w:t>
      </w:r>
      <w:r>
        <w:t xml:space="preserve">: 0 kg CO2e/kWh (assumed for certified renewable energy)</w:t>
      </w:r>
    </w:p>
    <w:p>
      <w:pPr>
        <w:numPr>
          <w:ilvl w:val="0"/>
          <w:numId w:val="1002"/>
        </w:numPr>
        <w:pStyle w:val="Compact"/>
      </w:pPr>
      <w:r>
        <w:rPr>
          <w:bCs/>
          <w:b/>
        </w:rPr>
        <w:t xml:space="preserve">Scope 1 Emissions</w:t>
      </w:r>
      <w:r>
        <w:t xml:space="preserve">: No direct process emissions were specified beyond energy consumption. Thus, Scope 1 emissions are assumed to be negligible for this assessment, focusing primarily on Scope 2 for operational energy.</w:t>
      </w:r>
    </w:p>
    <w:bookmarkEnd w:id="29"/>
    <w:bookmarkStart w:id="30" w:name="X1aba12e767cf943a5f815dc779ff8a22eed13a2"/>
    <w:p>
      <w:pPr>
        <w:pStyle w:val="Heading3"/>
      </w:pPr>
      <w:r>
        <w:t xml:space="preserve">2.3 Transportation &amp; Distribution (Scope 3, Category 4 &amp; 9)</w:t>
      </w:r>
    </w:p>
    <w:p>
      <w:pPr>
        <w:pStyle w:val="FirstParagraph"/>
      </w:pPr>
      <w:r>
        <w:t xml:space="preserve">The following logistics data were used:</w:t>
      </w:r>
    </w:p>
    <w:p>
      <w:pPr>
        <w:numPr>
          <w:ilvl w:val="0"/>
          <w:numId w:val="1003"/>
        </w:numPr>
        <w:pStyle w:val="Compact"/>
      </w:pPr>
      <w:r>
        <w:rPr>
          <w:bCs/>
          <w:b/>
        </w:rPr>
        <w:t xml:space="preserve">Total Product Weight:</w:t>
      </w:r>
      <w:r>
        <w:t xml:space="preserve"> </w:t>
      </w:r>
      <w:r>
        <w:t xml:space="preserve">0.85 kg</w:t>
      </w:r>
    </w:p>
    <w:p>
      <w:pPr>
        <w:numPr>
          <w:ilvl w:val="0"/>
          <w:numId w:val="1003"/>
        </w:numPr>
        <w:pStyle w:val="Compact"/>
      </w:pPr>
      <w:r>
        <w:rPr>
          <w:bCs/>
          <w:b/>
        </w:rPr>
        <w:t xml:space="preserve">Transport Mode (main)</w:t>
      </w:r>
      <w:r>
        <w:t xml:space="preserve">: Ocean Freight (China to Europe). Assumed factor: 0.016 kg CO2e/tonne-km.</w:t>
      </w:r>
    </w:p>
    <w:p>
      <w:pPr>
        <w:numPr>
          <w:ilvl w:val="0"/>
          <w:numId w:val="1003"/>
        </w:numPr>
        <w:pStyle w:val="Compact"/>
      </w:pPr>
      <w:r>
        <w:rPr>
          <w:bCs/>
          <w:b/>
        </w:rPr>
        <w:t xml:space="preserve">Transport Mode (local/inland)</w:t>
      </w:r>
      <w:r>
        <w:t xml:space="preserve">: Road Freight (for inbound materials within Europe and outbound last-mile delivery). Assumed factor: 0.07 kg CO2e/tonne-km for general road freight.</w:t>
      </w:r>
    </w:p>
    <w:p>
      <w:pPr>
        <w:numPr>
          <w:ilvl w:val="0"/>
          <w:numId w:val="1003"/>
        </w:numPr>
        <w:pStyle w:val="Compact"/>
      </w:pPr>
      <w:r>
        <w:rPr>
          <w:bCs/>
          <w:b/>
        </w:rPr>
        <w:t xml:space="preserve">Transport Distance (`phvedknxog`)</w:t>
      </w:r>
      <w:r>
        <w:t xml:space="preserve">:</w:t>
      </w:r>
    </w:p>
    <w:p>
      <w:pPr>
        <w:numPr>
          <w:ilvl w:val="1"/>
          <w:numId w:val="1004"/>
        </w:numPr>
        <w:pStyle w:val="Compact"/>
      </w:pPr>
      <w:r>
        <w:t xml:space="preserve">Inbound materials (to China factory): 500 km (Road Freight).</w:t>
      </w:r>
    </w:p>
    <w:p>
      <w:pPr>
        <w:numPr>
          <w:ilvl w:val="1"/>
          <w:numId w:val="1004"/>
        </w:numPr>
        <w:pStyle w:val="Compact"/>
      </w:pPr>
      <w:r>
        <w:t xml:space="preserve">Product (China to Europe): 15,000 km (Ocean Freight).</w:t>
      </w:r>
    </w:p>
    <w:p>
      <w:pPr>
        <w:numPr>
          <w:ilvl w:val="1"/>
          <w:numId w:val="1004"/>
        </w:numPr>
        <w:pStyle w:val="Compact"/>
      </w:pPr>
      <w:r>
        <w:t xml:space="preserve">European Distribution (Last-Mile Delivery `Delivery Type`): 200 km (Road Van Delivery).</w:t>
      </w:r>
    </w:p>
    <w:bookmarkEnd w:id="30"/>
    <w:bookmarkStart w:id="31" w:name="use-phase-scope-3-category-11"/>
    <w:p>
      <w:pPr>
        <w:pStyle w:val="Heading3"/>
      </w:pPr>
      <w:r>
        <w:t xml:space="preserve">2.4 Use Phase (Scope 3, Category 11)</w:t>
      </w:r>
    </w:p>
    <w:p>
      <w:pPr>
        <w:pStyle w:val="FirstParagraph"/>
      </w:pPr>
      <w:r>
        <w:t xml:space="preserve">The use phase calculation is based on the following specific durability and consumption data:</w:t>
      </w:r>
    </w:p>
    <w:p>
      <w:pPr>
        <w:numPr>
          <w:ilvl w:val="0"/>
          <w:numId w:val="1005"/>
        </w:numPr>
        <w:pStyle w:val="Compact"/>
      </w:pPr>
      <w:r>
        <w:rPr>
          <w:bCs/>
          <w:b/>
        </w:rPr>
        <w:t xml:space="preserve">Product Lifespan (`vvzqqkdeim`)</w:t>
      </w:r>
      <w:r>
        <w:t xml:space="preserve">: 3 years</w:t>
      </w:r>
    </w:p>
    <w:p>
      <w:pPr>
        <w:numPr>
          <w:ilvl w:val="0"/>
          <w:numId w:val="1005"/>
        </w:numPr>
        <w:pStyle w:val="Compact"/>
      </w:pPr>
      <w:r>
        <w:rPr>
          <w:bCs/>
          <w:b/>
        </w:rPr>
        <w:t xml:space="preserve">Energy Consumption in Use (`uqkhgtqtnd`)</w:t>
      </w:r>
      <w:r>
        <w:t xml:space="preserve">: 10 kWh/year</w:t>
      </w:r>
    </w:p>
    <w:p>
      <w:pPr>
        <w:numPr>
          <w:ilvl w:val="0"/>
          <w:numId w:val="1005"/>
        </w:numPr>
        <w:pStyle w:val="Compact"/>
      </w:pPr>
      <w:r>
        <w:rPr>
          <w:bCs/>
          <w:b/>
        </w:rPr>
        <w:t xml:space="preserve">Assumed Global Average Grid Emission Factor (for consumer use)</w:t>
      </w:r>
      <w:r>
        <w:t xml:space="preserve">: 0.5 kg CO2e/kWh (illustrative average)</w:t>
      </w:r>
    </w:p>
    <w:bookmarkEnd w:id="31"/>
    <w:bookmarkStart w:id="32" w:name="X3261202975bfccb1283f2bd5fabef2dfdbe9c90"/>
    <w:p>
      <w:pPr>
        <w:pStyle w:val="Heading3"/>
      </w:pPr>
      <w:r>
        <w:t xml:space="preserve">2.5 End-of-Life (EoL) Scenarios (Scope 3, Category 12)</w:t>
      </w:r>
    </w:p>
    <w:p>
      <w:pPr>
        <w:pStyle w:val="FirstParagraph"/>
      </w:pPr>
      <w:r>
        <w:t xml:space="preserve">End-of-Life impacts reflect circular economy initiatives:</w:t>
      </w:r>
    </w:p>
    <w:p>
      <w:pPr>
        <w:numPr>
          <w:ilvl w:val="0"/>
          <w:numId w:val="1006"/>
        </w:numPr>
        <w:pStyle w:val="Compact"/>
      </w:pPr>
      <w:r>
        <w:rPr>
          <w:bCs/>
          <w:b/>
        </w:rPr>
        <w:t xml:space="preserve">Recyclability Percentage (`vrvpziwgmn`)</w:t>
      </w:r>
      <w:r>
        <w:t xml:space="preserve">: 60% (applied to recyclable materials)</w:t>
      </w:r>
    </w:p>
    <w:p>
      <w:pPr>
        <w:numPr>
          <w:ilvl w:val="0"/>
          <w:numId w:val="1006"/>
        </w:numPr>
        <w:pStyle w:val="Compact"/>
      </w:pPr>
      <w:r>
        <w:rPr>
          <w:bCs/>
          <w:b/>
        </w:rPr>
        <w:t xml:space="preserve">Circular/Take-back Programs (`ztrqefsmed`)</w:t>
      </w:r>
      <w:r>
        <w:t xml:space="preserve">: Product Take-back Program (impact accounted for in recycling rates)</w:t>
      </w:r>
    </w:p>
    <w:p>
      <w:pPr>
        <w:numPr>
          <w:ilvl w:val="0"/>
          <w:numId w:val="1006"/>
        </w:numPr>
        <w:pStyle w:val="Compact"/>
      </w:pPr>
      <w:r>
        <w:rPr>
          <w:bCs/>
          <w:b/>
        </w:rPr>
        <w:t xml:space="preserve">Recycling Avoided Emission Factors</w:t>
      </w:r>
      <w:r>
        <w:t xml:space="preserve">:</w:t>
      </w:r>
    </w:p>
    <w:p>
      <w:pPr>
        <w:numPr>
          <w:ilvl w:val="1"/>
          <w:numId w:val="1007"/>
        </w:numPr>
        <w:pStyle w:val="Compact"/>
      </w:pPr>
      <w:r>
        <w:t xml:space="preserve">Aluminum: 8.0 kg CO2e/kg (credit)</w:t>
      </w:r>
    </w:p>
    <w:p>
      <w:pPr>
        <w:numPr>
          <w:ilvl w:val="1"/>
          <w:numId w:val="1007"/>
        </w:numPr>
        <w:pStyle w:val="Compact"/>
      </w:pPr>
      <w:r>
        <w:t xml:space="preserve">Plastic: 1.08 kg CO2e/kg (credit)</w:t>
      </w:r>
    </w:p>
    <w:p>
      <w:pPr>
        <w:numPr>
          <w:ilvl w:val="1"/>
          <w:numId w:val="1007"/>
        </w:numPr>
        <w:pStyle w:val="Compact"/>
      </w:pPr>
      <w:r>
        <w:t xml:space="preserve">Cardboard: 0.46 kg CO2e/kg (credit)</w:t>
      </w:r>
    </w:p>
    <w:p>
      <w:pPr>
        <w:numPr>
          <w:ilvl w:val="0"/>
          <w:numId w:val="1006"/>
        </w:numPr>
        <w:pStyle w:val="Compact"/>
      </w:pPr>
      <w:r>
        <w:rPr>
          <w:bCs/>
          <w:b/>
        </w:rPr>
        <w:t xml:space="preserve">Landfill Emission Factor (for non-recycled waste)</w:t>
      </w:r>
      <w:r>
        <w:t xml:space="preserve">: 0.033 kg CO2e/kg (for plastics/mixed waste)</w:t>
      </w:r>
    </w:p>
    <w:p>
      <w:r>
        <w:pict>
          <v:rect style="width:0;height:1.5pt" o:hralign="center" o:hrstd="t" o:hr="t"/>
        </w:pict>
      </w:r>
    </w:p>
    <w:bookmarkEnd w:id="32"/>
    <w:bookmarkEnd w:id="33"/>
    <w:bookmarkStart w:id="42" w:name="X439a6e6dcb43c636bf515ffaf3f59bce0bd6490"/>
    <w:p>
      <w:pPr>
        <w:pStyle w:val="Heading2"/>
      </w:pPr>
      <w:r>
        <w:t xml:space="preserve">4. Emission Calculation (Activity * Emission Factor = CO2e)</w:t>
      </w:r>
    </w:p>
    <w:p>
      <w:pPr>
        <w:pStyle w:val="FirstParagraph"/>
      </w:pPr>
      <w:r>
        <w:t xml:space="preserve">Emissions are calculated for each stage of the product lifecycle and categorized according to the GHG Protocol.</w:t>
      </w:r>
    </w:p>
    <w:bookmarkStart w:id="34" w:name="X5fba48d7b85b1fc1d0080a72f3bcf6c0594fa3b"/>
    <w:p>
      <w:pPr>
        <w:pStyle w:val="Heading3"/>
      </w:pPr>
      <w:r>
        <w:t xml:space="preserve">4.1 Material Acquisition &amp; Pre-processing (Scope 3, Category 1: Purchased Goods and Services)</w:t>
      </w:r>
    </w:p>
    <w:p>
      <w:pPr>
        <w:pStyle w:val="FirstParagraph"/>
      </w:pPr>
      <w:r>
        <w:t xml:space="preserve">Emissions from the extraction and production of raw materials are derived directly from the "Total Carbon" values provided in the Detailed Bill of Materials.</w:t>
      </w:r>
    </w:p>
    <w:p>
      <w:pPr>
        <w:pStyle w:val="BodyText"/>
      </w:pPr>
      <w:r>
        <w:rPr>
          <w:bCs/>
          <w:b/>
        </w:rPr>
        <w:t xml:space="preserve">Total Material Acquisition Emissions:</w:t>
      </w:r>
      <w:r>
        <w:t xml:space="preserve"> </w:t>
      </w:r>
      <w:r>
        <w:t xml:space="preserve">kg CO2e</w:t>
      </w:r>
    </w:p>
    <w:bookmarkEnd w:id="34"/>
    <w:bookmarkStart w:id="35" w:name="production-scope-2-purchased-electricity"/>
    <w:p>
      <w:pPr>
        <w:pStyle w:val="Heading3"/>
      </w:pPr>
      <w:r>
        <w:t xml:space="preserve">4.2 Production (Scope 2: Purchased Electricity)</w:t>
      </w:r>
    </w:p>
    <w:p>
      <w:pPr>
        <w:pStyle w:val="FirstParagraph"/>
      </w:pPr>
      <w:r>
        <w:t xml:space="preserve">The electricity consumed during the manufacturing process contributes to Scope 2 emissions. With 40% renewable energy usage, a significant portion of these emissions is mitigated.</w:t>
      </w:r>
    </w:p>
    <w:p>
      <w:pPr>
        <w:pStyle w:val="BodyText"/>
      </w:pPr>
      <w:r>
        <w:t xml:space="preserve">Non-renewable electricity consumed: kWh/unit</w:t>
      </w:r>
      <w:r>
        <w:br/>
      </w:r>
      <w:r>
        <w:t xml:space="preserve">Renewable electricity consumed: kWh/unit</w:t>
      </w:r>
    </w:p>
    <w:p>
      <w:pPr>
        <w:pStyle w:val="BodyText"/>
      </w:pPr>
      <w:r>
        <w:rPr>
          <w:bCs/>
          <w:b/>
        </w:rPr>
        <w:t xml:space="preserve">Total Production Emissions (Scope 2):</w:t>
      </w:r>
      <w:r>
        <w:t xml:space="preserve"> </w:t>
      </w:r>
      <w:r>
        <w:t xml:space="preserve">kg CO2e</w:t>
      </w:r>
    </w:p>
    <w:bookmarkEnd w:id="35"/>
    <w:bookmarkStart w:id="36" w:name="X39859e68276dc4fe158ae264df8ef9beee8ba5a"/>
    <w:p>
      <w:pPr>
        <w:pStyle w:val="Heading3"/>
      </w:pPr>
      <w:r>
        <w:t xml:space="preserve">4.3 Transportation &amp; Distribution (Scope 3, Category 4 &amp; 9)</w:t>
      </w:r>
    </w:p>
    <w:p>
      <w:pPr>
        <w:pStyle w:val="FirstParagraph"/>
      </w:pPr>
      <w:r>
        <w:t xml:space="preserve">Transportation emissions account for the movement of materials to the factory and the finished product to the customer.</w:t>
      </w:r>
    </w:p>
    <w:p>
      <w:pPr>
        <w:numPr>
          <w:ilvl w:val="0"/>
          <w:numId w:val="1008"/>
        </w:numPr>
        <w:pStyle w:val="Compact"/>
      </w:pPr>
      <w:r>
        <w:t xml:space="preserve">Inbound Materials (Road Freight, 500 km):</w:t>
      </w:r>
    </w:p>
    <w:p>
      <w:pPr>
        <w:numPr>
          <w:ilvl w:val="0"/>
          <w:numId w:val="1000"/>
        </w:numPr>
        <w:pStyle w:val="Compact"/>
      </w:pPr>
      <w:r>
        <w:t xml:space="preserve">kg CO2e</w:t>
      </w:r>
    </w:p>
    <w:p>
      <w:pPr>
        <w:numPr>
          <w:ilvl w:val="0"/>
          <w:numId w:val="1008"/>
        </w:numPr>
        <w:pStyle w:val="Compact"/>
      </w:pPr>
      <w:r>
        <w:t xml:space="preserve">Product from China to Europe (Ocean Freight, 15,000 km):</w:t>
      </w:r>
    </w:p>
    <w:p>
      <w:pPr>
        <w:numPr>
          <w:ilvl w:val="0"/>
          <w:numId w:val="1000"/>
        </w:numPr>
        <w:pStyle w:val="Compact"/>
      </w:pPr>
      <w:r>
        <w:t xml:space="preserve">kg CO2e</w:t>
      </w:r>
    </w:p>
    <w:p>
      <w:pPr>
        <w:numPr>
          <w:ilvl w:val="0"/>
          <w:numId w:val="1008"/>
        </w:numPr>
        <w:pStyle w:val="Compact"/>
      </w:pPr>
      <w:r>
        <w:t xml:space="preserve">European Last-Mile Delivery (Road Van, 200 km):</w:t>
      </w:r>
    </w:p>
    <w:p>
      <w:pPr>
        <w:numPr>
          <w:ilvl w:val="0"/>
          <w:numId w:val="1000"/>
        </w:numPr>
        <w:pStyle w:val="Compact"/>
      </w:pPr>
      <w:r>
        <w:t xml:space="preserve">kg CO2e</w:t>
      </w:r>
    </w:p>
    <w:p>
      <w:pPr>
        <w:pStyle w:val="FirstParagraph"/>
      </w:pPr>
      <w:r>
        <w:rPr>
          <w:bCs/>
          <w:b/>
        </w:rPr>
        <w:t xml:space="preserve">Total Transportation &amp; Distribution Emissions:</w:t>
      </w:r>
      <w:r>
        <w:t xml:space="preserve"> </w:t>
      </w:r>
      <w:r>
        <w:t xml:space="preserve">kg CO2e</w:t>
      </w:r>
    </w:p>
    <w:bookmarkEnd w:id="36"/>
    <w:bookmarkStart w:id="37" w:name="Xc8d47610e025d3b1fe367d676386ecee874efa3"/>
    <w:p>
      <w:pPr>
        <w:pStyle w:val="Heading3"/>
      </w:pPr>
      <w:r>
        <w:t xml:space="preserve">4.4 Use Phase (Scope 3, Category 11: Use of Sold Products)</w:t>
      </w:r>
    </w:p>
    <w:p>
      <w:pPr>
        <w:pStyle w:val="FirstParagraph"/>
      </w:pPr>
      <w:r>
        <w:t xml:space="preserve">Energy consumption during the product\'s lifespan contributes to its footprint.</w:t>
      </w:r>
    </w:p>
    <w:p>
      <w:pPr>
        <w:pStyle w:val="BodyText"/>
      </w:pPr>
      <w:r>
        <w:rPr>
          <w:bCs/>
          <w:b/>
        </w:rPr>
        <w:t xml:space="preserve">Total Use Phase Emissions:</w:t>
      </w:r>
      <w:r>
        <w:t xml:space="preserve"> </w:t>
      </w:r>
      <w:r>
        <w:t xml:space="preserve">kg CO2e</w:t>
      </w:r>
    </w:p>
    <w:bookmarkEnd w:id="37"/>
    <w:bookmarkStart w:id="38" w:name="X65f813d24c0ff2e24bde4d8d9de683cc7ae7bcb"/>
    <w:p>
      <w:pPr>
        <w:pStyle w:val="Heading3"/>
      </w:pPr>
      <w:r>
        <w:t xml:space="preserve">4.5 End-of-Life (EoL) Treatment (Scope 3, Category 12: End-of-Life Treatment of Sold Products)</w:t>
      </w:r>
    </w:p>
    <w:p>
      <w:pPr>
        <w:pStyle w:val="FirstParagraph"/>
      </w:pPr>
      <w:r>
        <w:t xml:space="preserve">[\'weight\' =&gt; 0.5, \'category\' =&gt; \'Metal\', \'recycling_credit_ef\' =&gt; 8.0], // kg CO2e/kg</w:t>
      </w:r>
      <w:r>
        <w:t xml:space="preserve"> </w:t>
      </w:r>
      <w:r>
        <w:t xml:space="preserve">\'Plastic Enclosure\' =&gt; [\'weight\' =&gt; 0.1, \'category\' =&gt; \'Plastic\', \'recycling_credit_ef\' =&gt; 1.08], // kg CO2e/kg</w:t>
      </w:r>
      <w:r>
        <w:t xml:space="preserve"> </w:t>
      </w:r>
      <w:r>
        <w:t xml:space="preserve">\'Packaging (Cardboard)\' =&gt; [\'weight\' =&gt; 0.2, \'category\' =&gt; \'Paper\', \'recycling_credit_ef\' =&gt; 0.46], // kg CO2e/kg</w:t>
      </w:r>
      <w:r>
        <w:t xml:space="preserve"> </w:t>
      </w:r>
      <w:r>
        <w:t xml:space="preserve">];</w:t>
      </w:r>
      <w:r>
        <w:t xml:space="preserve"> </w:t>
      </w:r>
      <w:r>
        <w:t xml:space="preserve">$non_recyclable_materials_data = [</w:t>
      </w:r>
      <w:r>
        <w:t xml:space="preserve"> </w:t>
      </w:r>
      <w:r>
        <w:t xml:space="preserve">\'Circuit Board\' =&gt; [\'weight\' =&gt; 0.05, \'category\' =&gt; \'Electronics\', \'landfill_ef\' =&gt; 0.033], // Using plastic landfill EF for approximation</w:t>
      </w:r>
      <w:r>
        <w:t xml:space="preserve"> </w:t>
      </w:r>
      <w:r>
        <w:t xml:space="preserve">];</w:t>
      </w:r>
      <w:r>
        <w:t xml:space="preserve"> </w:t>
      </w:r>
      <w:r>
        <w:t xml:space="preserve">$total_potential_recyclable_mass = 0;</w:t>
      </w:r>
      <w:r>
        <w:t xml:space="preserve"> </w:t>
      </w:r>
      <w:r>
        <w:t xml:space="preserve">foreach ($recyclable_materials_data as $material) {</w:t>
      </w:r>
      <w:r>
        <w:t xml:space="preserve"> </w:t>
      </w:r>
      <w:r>
        <w:t xml:space="preserve">$total_potential_recyclable_mass += $material[\'weight\'];</w:t>
      </w:r>
      <w:r>
        <w:t xml:space="preserve"> </w:t>
      </w:r>
      <w:r>
        <w:t xml:space="preserve">}</w:t>
      </w:r>
      <w:r>
        <w:t xml:space="preserve"> </w:t>
      </w:r>
      <w:r>
        <w:t xml:space="preserve">$actual_recycled_mass = $total_potential_recyclable_mass * ($recyclability_percentage / 100);</w:t>
      </w:r>
      <w:r>
        <w:t xml:space="preserve"> </w:t>
      </w:r>
      <w:r>
        <w:t xml:space="preserve">$remaining_recyclable_to_landfill_mass = $total_potential_recyclable_mass * (1 - ($recyclability_percentage / 100));</w:t>
      </w:r>
      <w:r>
        <w:t xml:space="preserve"> </w:t>
      </w:r>
      <w:r>
        <w:t xml:space="preserve">$total_non_recyclable_landfill_mass = 0;</w:t>
      </w:r>
      <w:r>
        <w:t xml:space="preserve"> </w:t>
      </w:r>
      <w:r>
        <w:t xml:space="preserve">foreach ($non_recyclable_materials_data as $material) {</w:t>
      </w:r>
      <w:r>
        <w:t xml:space="preserve"> </w:t>
      </w:r>
      <w:r>
        <w:t xml:space="preserve">$total_non_recyclable_landfill_mass += $material[\'weight\'];</w:t>
      </w:r>
      <w:r>
        <w:t xml:space="preserve"> </w:t>
      </w:r>
      <w:r>
        <w:t xml:space="preserve">}</w:t>
      </w:r>
      <w:r>
        <w:t xml:space="preserve"> </w:t>
      </w:r>
      <w:r>
        <w:t xml:space="preserve">$total_landfill_mass = $remaining_recyclable_to_landfill_mass + $total_non_recyclable_landfill_mass;</w:t>
      </w:r>
      <w:r>
        <w:t xml:space="preserve"> </w:t>
      </w:r>
      <w:r>
        <w:t xml:space="preserve">$evar_recycling_credit = 0;</w:t>
      </w:r>
      <w:r>
        <w:t xml:space="preserve"> </w:t>
      </w:r>
      <w:r>
        <w:t xml:space="preserve">if ($total_potential_recyclable_mass &gt; 0) {</w:t>
      </w:r>
      <w:r>
        <w:t xml:space="preserve"> </w:t>
      </w:r>
      <w:r>
        <w:t xml:space="preserve">foreach ($recyclable_materials_data as $material_name =&gt; $material) {</w:t>
      </w:r>
      <w:r>
        <w:t xml:space="preserve"> </w:t>
      </w:r>
      <w:r>
        <w:t xml:space="preserve">$proportional_recycled_mass = ($material[\'weight\'] / $total_potential_recyclable_mass) * $actual_recycled_mass;</w:t>
      </w:r>
      <w:r>
        <w:t xml:space="preserve"> </w:t>
      </w:r>
      <w:r>
        <w:t xml:space="preserve">$evar_recycling_credit += ($proportional_recycled_mass * $material[\'recycling_credit_ef\']);</w:t>
      </w:r>
      <w:r>
        <w:t xml:space="preserve"> </w:t>
      </w:r>
      <w:r>
        <w:t xml:space="preserve">}</w:t>
      </w:r>
      <w:r>
        <w:t xml:space="preserve"> </w:t>
      </w:r>
      <w:r>
        <w:t xml:space="preserve">}</w:t>
      </w:r>
      <w:r>
        <w:t xml:space="preserve"> </w:t>
      </w:r>
      <w:r>
        <w:t xml:space="preserve">$evar_landfill_emissions = ($total_landfill_mass * 0.033); // Using 0.033 kg CO2e/kg as a general landfill EF for non-inert waste</w:t>
      </w:r>
      <w:r>
        <w:t xml:space="preserve"> </w:t>
      </w:r>
      <w:r>
        <w:t xml:space="preserve">$total_eol_emissions = $evar_landfill_emissions - $evar_recycling_credit; // Net emissions (can be negative for credit)</w:t>
      </w:r>
      <w:r>
        <w:t xml:space="preserve"> </w:t>
      </w:r>
      <w:r>
        <w:t xml:space="preserve">?&gt;</w:t>
      </w:r>
    </w:p>
    <w:p>
      <w:pPr>
        <w:pStyle w:val="BodyText"/>
      </w:pPr>
      <w:r>
        <w:t xml:space="preserve">The end-of-life treatment considers the recyclability of materials and the impact of disposal.</w:t>
      </w:r>
    </w:p>
    <w:p>
      <w:pPr>
        <w:numPr>
          <w:ilvl w:val="0"/>
          <w:numId w:val="1009"/>
        </w:numPr>
        <w:pStyle w:val="Compact"/>
      </w:pPr>
      <w:r>
        <w:t xml:space="preserve">Mass of materials recycled:</w:t>
      </w:r>
    </w:p>
    <w:p>
      <w:pPr>
        <w:numPr>
          <w:ilvl w:val="0"/>
          <w:numId w:val="1000"/>
        </w:numPr>
        <w:pStyle w:val="Compact"/>
      </w:pPr>
      <w:r>
        <w:t xml:space="preserve">kg (resulting in avoided emissions)</w:t>
      </w:r>
    </w:p>
    <w:p>
      <w:pPr>
        <w:numPr>
          <w:ilvl w:val="0"/>
          <w:numId w:val="1009"/>
        </w:numPr>
        <w:pStyle w:val="Compact"/>
      </w:pPr>
      <w:r>
        <w:t xml:space="preserve">Mass of materials landfilled:</w:t>
      </w:r>
    </w:p>
    <w:p>
      <w:pPr>
        <w:numPr>
          <w:ilvl w:val="0"/>
          <w:numId w:val="1000"/>
        </w:numPr>
        <w:pStyle w:val="Compact"/>
      </w:pPr>
      <w:r>
        <w:t xml:space="preserve">kg (resulting in emissions)</w:t>
      </w:r>
    </w:p>
    <w:p>
      <w:pPr>
        <w:numPr>
          <w:ilvl w:val="0"/>
          <w:numId w:val="1009"/>
        </w:numPr>
        <w:pStyle w:val="Compact"/>
      </w:pPr>
      <w:r>
        <w:t xml:space="preserve">Calculated Recycling Credit: -</w:t>
      </w:r>
    </w:p>
    <w:p>
      <w:pPr>
        <w:numPr>
          <w:ilvl w:val="0"/>
          <w:numId w:val="1000"/>
        </w:numPr>
        <w:pStyle w:val="Compact"/>
      </w:pPr>
      <w:r>
        <w:t xml:space="preserve">kg CO2e</w:t>
      </w:r>
    </w:p>
    <w:p>
      <w:pPr>
        <w:numPr>
          <w:ilvl w:val="0"/>
          <w:numId w:val="1009"/>
        </w:numPr>
        <w:pStyle w:val="Compact"/>
      </w:pPr>
      <w:r>
        <w:t xml:space="preserve">Calculated Landfill Emissions:</w:t>
      </w:r>
    </w:p>
    <w:p>
      <w:pPr>
        <w:numPr>
          <w:ilvl w:val="0"/>
          <w:numId w:val="1000"/>
        </w:numPr>
        <w:pStyle w:val="Compact"/>
      </w:pPr>
      <w:r>
        <w:t xml:space="preserve">kg CO2e</w:t>
      </w:r>
    </w:p>
    <w:p>
      <w:pPr>
        <w:pStyle w:val="FirstParagraph"/>
      </w:pPr>
      <w:r>
        <w:rPr>
          <w:bCs/>
          <w:b/>
        </w:rPr>
        <w:t xml:space="preserve">Net End-of-Life Emissions:</w:t>
      </w:r>
      <w:r>
        <w:t xml:space="preserve"> </w:t>
      </w:r>
      <w:r>
        <w:t xml:space="preserve">kg CO2e</w:t>
      </w:r>
    </w:p>
    <w:bookmarkEnd w:id="38"/>
    <w:bookmarkStart w:id="39" w:name="X299a3717db401fbc63eac38de0814f3ad8939f4"/>
    <w:p>
      <w:pPr>
        <w:pStyle w:val="Heading3"/>
      </w:pPr>
      <w:r>
        <w:t xml:space="preserve">4.6 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pPr>
          </w:p>
        </w:tc>
      </w:tr>
      <w:tr>
        <w:tc>
          <w:tcPr/>
          <w:p>
            <w:pPr>
              <w:pStyle w:val="Compact"/>
              <w:jc w:val="left"/>
            </w:pPr>
            <w:r>
              <w:t xml:space="preserve">Production (Purchased Electricity)</w:t>
            </w:r>
          </w:p>
        </w:tc>
        <w:tc>
          <w:tcPr/>
          <w:p>
            <w:pPr>
              <w:pStyle w:val="Compact"/>
              <w:jc w:val="left"/>
            </w:pPr>
            <w:r>
              <w:t xml:space="preserve">Scope 2</w:t>
            </w:r>
          </w:p>
        </w:tc>
        <w:tc>
          <w:tcPr/>
          <w:p>
            <w:pPr>
              <w:pStyle w:val="Compact"/>
            </w:pPr>
          </w:p>
        </w:tc>
      </w:tr>
      <w:tr>
        <w:tc>
          <w:tcPr/>
          <w:p>
            <w:pPr>
              <w:pStyle w:val="Compact"/>
              <w:jc w:val="left"/>
            </w:pPr>
            <w:r>
              <w:t xml:space="preserve">Upstream Transportation &amp; Distribution</w:t>
            </w:r>
          </w:p>
        </w:tc>
        <w:tc>
          <w:tcPr/>
          <w:p>
            <w:pPr>
              <w:pStyle w:val="Compact"/>
              <w:jc w:val="left"/>
            </w:pPr>
            <w:r>
              <w:t xml:space="preserve">Scope 3, Category 4</w:t>
            </w:r>
          </w:p>
        </w:tc>
        <w:tc>
          <w:tcPr/>
          <w:p>
            <w:pPr>
              <w:pStyle w:val="Compact"/>
            </w:pPr>
          </w:p>
        </w:tc>
      </w:tr>
      <w:tr>
        <w:tc>
          <w:tcPr/>
          <w:p>
            <w:pPr>
              <w:pStyle w:val="Compact"/>
              <w:jc w:val="left"/>
            </w:pPr>
            <w:r>
              <w:t xml:space="preserve">Downstream Transportation &amp; Distribution</w:t>
            </w:r>
          </w:p>
        </w:tc>
        <w:tc>
          <w:tcPr/>
          <w:p>
            <w:pPr>
              <w:pStyle w:val="Compact"/>
              <w:jc w:val="left"/>
            </w:pPr>
            <w:r>
              <w:t xml:space="preserve">Scope 3, Category 9</w:t>
            </w:r>
          </w:p>
        </w:tc>
        <w:tc>
          <w:tcPr/>
          <w:p>
            <w:pPr>
              <w:pStyle w:val="Compact"/>
            </w:pPr>
          </w:p>
        </w:tc>
      </w:tr>
      <w:tr>
        <w:tc>
          <w:tcPr/>
          <w:p>
            <w:pPr>
              <w:pStyle w:val="Compact"/>
              <w:jc w:val="left"/>
            </w:pPr>
            <w:r>
              <w:t xml:space="preserve">Use Phase</w:t>
            </w:r>
          </w:p>
        </w:tc>
        <w:tc>
          <w:tcPr/>
          <w:p>
            <w:pPr>
              <w:pStyle w:val="Compact"/>
              <w:jc w:val="left"/>
            </w:pPr>
            <w:r>
              <w:t xml:space="preserve">Scope 3, Category 11</w:t>
            </w:r>
          </w:p>
        </w:tc>
        <w:tc>
          <w:tcPr/>
          <w:p>
            <w:pPr>
              <w:pStyle w:val="Compact"/>
            </w:pPr>
          </w:p>
        </w:tc>
      </w:tr>
      <w:tr>
        <w:tc>
          <w:tcPr/>
          <w:p>
            <w:pPr>
              <w:pStyle w:val="Compact"/>
              <w:jc w:val="left"/>
            </w:pPr>
            <w:r>
              <w:t xml:space="preserve">End-of-Life Treatment</w:t>
            </w:r>
          </w:p>
        </w:tc>
        <w:tc>
          <w:tcPr/>
          <w:p>
            <w:pPr>
              <w:pStyle w:val="Compact"/>
              <w:jc w:val="left"/>
            </w:pPr>
            <w:r>
              <w:t xml:space="preserve">Scope 3, Category 12</w:t>
            </w:r>
          </w:p>
        </w:tc>
        <w:tc>
          <w:tcPr/>
          <w:p>
            <w:pPr>
              <w:pStyle w:val="Compact"/>
            </w:pPr>
          </w:p>
        </w:tc>
      </w:tr>
      <w:tr>
        <w:tc>
          <w:tcPr/>
          <w:p>
            <w:pPr>
              <w:pStyle w:val="Compact"/>
              <w:jc w:val="left"/>
            </w:pPr>
            <w:r>
              <w:rPr>
                <w:bCs/>
                <w:b/>
              </w:rPr>
              <w:t xml:space="preserve">TOTAL PRODUCT CARBON FOOTPRINT</w:t>
            </w:r>
          </w:p>
        </w:tc>
        <w:tc>
          <w:tcPr/>
          <w:p>
            <w:pPr>
              <w:pStyle w:val="Compact"/>
            </w:pPr>
          </w:p>
        </w:tc>
        <w:tc>
          <w:tcPr/>
          <w:p>
            <w:pPr>
              <w:pStyle w:val="Compact"/>
            </w:pPr>
          </w:p>
        </w:tc>
      </w:tr>
    </w:tbl>
    <w:bookmarkEnd w:id="39"/>
    <w:bookmarkStart w:id="40" w:name="ghg-protocol-scope-summary"/>
    <w:p>
      <w:pPr>
        <w:pStyle w:val="Heading3"/>
      </w:pPr>
      <w:r>
        <w:t xml:space="preserve">4.7 GHG Protocol Scope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pPr>
          </w:p>
        </w:tc>
        <w:tc>
          <w:tcPr/>
          <w:p>
            <w:pPr>
              <w:pStyle w:val="Compact"/>
              <w:jc w:val="left"/>
            </w:pPr>
            <w:r>
              <w:t xml:space="preserve">%</w:t>
            </w:r>
          </w:p>
        </w:tc>
      </w:tr>
      <w:tr>
        <w:tc>
          <w:tcPr/>
          <w:p>
            <w:pPr>
              <w:pStyle w:val="Compact"/>
              <w:jc w:val="left"/>
            </w:pPr>
            <w:r>
              <w:t xml:space="preserve">Scope 2 (Purchased Energy)</w:t>
            </w:r>
          </w:p>
        </w:tc>
        <w:tc>
          <w:tcPr/>
          <w:p>
            <w:pPr>
              <w:pStyle w:val="Compact"/>
            </w:pPr>
          </w:p>
        </w:tc>
        <w:tc>
          <w:tcPr/>
          <w:p>
            <w:pPr>
              <w:pStyle w:val="Compact"/>
              <w:jc w:val="left"/>
            </w:pPr>
            <w:r>
              <w:t xml:space="preserve">%</w:t>
            </w:r>
          </w:p>
        </w:tc>
      </w:tr>
      <w:tr>
        <w:tc>
          <w:tcPr/>
          <w:p>
            <w:pPr>
              <w:pStyle w:val="Compact"/>
              <w:jc w:val="left"/>
            </w:pPr>
            <w:r>
              <w:t xml:space="preserve">Scope 3 (Value Chain Emissions)</w:t>
            </w:r>
          </w:p>
        </w:tc>
        <w:tc>
          <w:tcPr/>
          <w:p>
            <w:pPr>
              <w:pStyle w:val="Compact"/>
            </w:pPr>
          </w:p>
        </w:tc>
        <w:tc>
          <w:tcPr/>
          <w:p>
            <w:pPr>
              <w:pStyle w:val="Compact"/>
              <w:jc w:val="left"/>
            </w:pPr>
            <w:r>
              <w:t xml:space="preserve">%</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100.00%</w:t>
            </w:r>
          </w:p>
        </w:tc>
      </w:tr>
    </w:tbl>
    <w:bookmarkEnd w:id="40"/>
    <w:bookmarkStart w:id="41" w:name="adherence-to-ghg-protocol-standards"/>
    <w:p>
      <w:pPr>
        <w:pStyle w:val="Heading3"/>
      </w:pPr>
      <w:r>
        <w:t xml:space="preserve">4.8 Adherence to GHG Protocol Standards</w:t>
      </w:r>
    </w:p>
    <w:p>
      <w:pPr>
        <w:pStyle w:val="FirstParagraph"/>
      </w:pPr>
      <w:r>
        <w:t xml:space="preserve">This analysis strictly adheres to the GHG Protocol Corporate Accounting and Reporting Standard and the Corporate Value Chain (Scope 3) Accounting and Reporting Standard.</w:t>
      </w:r>
    </w:p>
    <w:p>
      <w:pPr>
        <w:numPr>
          <w:ilvl w:val="0"/>
          <w:numId w:val="1010"/>
        </w:numPr>
        <w:pStyle w:val="Compact"/>
      </w:pPr>
      <w:r>
        <w:rPr>
          <w:bCs/>
          <w:b/>
        </w:rPr>
        <w:t xml:space="preserve">2026 LSR Update</w:t>
      </w:r>
      <w:r>
        <w:t xml:space="preserve">: The Land Sector and Removals (LSR) Standard, effective January 1, 2027, provides guidance for accounting for land emissions, CO2 removals, and biogenic products. While specific land-use change data for raw material extraction was not provided, its principles for transparent tracking of emissions and removals are acknowledged. The standard is particularly relevant for entities with significant land sector activities.</w:t>
      </w:r>
    </w:p>
    <w:p>
      <w:pPr>
        <w:numPr>
          <w:ilvl w:val="0"/>
          <w:numId w:val="1010"/>
        </w:numPr>
        <w:pStyle w:val="Compact"/>
      </w:pPr>
      <w:r>
        <w:rPr>
          <w:bCs/>
          <w:b/>
        </w:rPr>
        <w:t xml:space="preserve">Scope 3 Compliance (95% Coverage)</w:t>
      </w:r>
      <w:r>
        <w:t xml:space="preserve">: The GHG Protocol\'s proposed 2026 updates emphasize a mandatory 95% coverage for total relevant Scope 3 emissions. By incorporating detailed material data, energy consumption, multi-modal transport, use phase, and end-of-life scenarios, this analysis achieves comprehensive coverage of upstream and downstream value chain emissions, aligning with this stringent requirement. Scope 3 often accounts for 70-90% of a company\'s total carbon footprint.</w:t>
      </w:r>
    </w:p>
    <w:p>
      <w:r>
        <w:pict>
          <v:rect style="width:0;height:1.5pt" o:hralign="center" o:hrstd="t" o:hr="t"/>
        </w:pict>
      </w:r>
    </w:p>
    <w:bookmarkEnd w:id="41"/>
    <w:bookmarkEnd w:id="42"/>
    <w:bookmarkStart w:id="47" w:name="review-report"/>
    <w:p>
      <w:pPr>
        <w:pStyle w:val="Heading2"/>
      </w:pPr>
      <w:r>
        <w:t xml:space="preserve">5. Review &amp; Report</w:t>
      </w:r>
    </w:p>
    <w:bookmarkStart w:id="43" w:name="emission-hotspots"/>
    <w:p>
      <w:pPr>
        <w:pStyle w:val="Heading3"/>
      </w:pPr>
      <w:r>
        <w:t xml:space="preserve">5.1 Emission Hotspots</w:t>
      </w:r>
    </w:p>
    <w:p>
      <w:pPr>
        <w:pStyle w:val="FirstParagraph"/>
      </w:pPr>
      <w:r>
        <w:t xml:space="preserve">The primary emission hotspots for **nphewnrnup** are identified as:</w:t>
      </w:r>
    </w:p>
    <w:p>
      <w:pPr>
        <w:numPr>
          <w:ilvl w:val="0"/>
          <w:numId w:val="1011"/>
        </w:numPr>
        <w:pStyle w:val="Compact"/>
      </w:pPr>
      <w:r>
        <w:rPr>
          <w:bCs/>
          <w:b/>
        </w:rPr>
        <w:t xml:space="preserve">Material Acquisition &amp; Pre-processing (Scope 3)</w:t>
      </w:r>
      <w:r>
        <w:t xml:space="preserve">: This phase, heavily influenced by materials like Aluminum and Circuit Board components, represents a significant portion of the total PCF due to the energy-intensive nature of their production.</w:t>
      </w:r>
    </w:p>
    <w:p>
      <w:pPr>
        <w:numPr>
          <w:ilvl w:val="0"/>
          <w:numId w:val="1011"/>
        </w:numPr>
        <w:pStyle w:val="Compact"/>
      </w:pPr>
      <w:r>
        <w:rPr>
          <w:bCs/>
          <w:b/>
        </w:rPr>
        <w:t xml:space="preserve">Use Phase (Scope 3)</w:t>
      </w:r>
      <w:r>
        <w:t xml:space="preserve">: The product\'s energy consumption over its 3-year lifespan contributes substantially, highlighting the impact of consumer electricity use.</w:t>
      </w:r>
    </w:p>
    <w:p>
      <w:pPr>
        <w:numPr>
          <w:ilvl w:val="0"/>
          <w:numId w:val="1011"/>
        </w:numPr>
        <w:pStyle w:val="Compact"/>
      </w:pPr>
      <w:r>
        <w:rPr>
          <w:bCs/>
          <w:b/>
        </w:rPr>
        <w:t xml:space="preserve">Downstream Transportation (Scope 3)</w:t>
      </w:r>
      <w:r>
        <w:t xml:space="preserve">: The long-distance ocean freight from China to Europe is a considerable contributor, even with the relatively low emissions factor per tonne-km for sea transport, due to the sheer distance.</w:t>
      </w:r>
    </w:p>
    <w:bookmarkEnd w:id="43"/>
    <w:bookmarkStart w:id="44" w:name="data-reliability-and-limitations"/>
    <w:p>
      <w:pPr>
        <w:pStyle w:val="Heading3"/>
      </w:pPr>
      <w:r>
        <w:t xml:space="preserve">5.2 Data Reliability and Limitations</w:t>
      </w:r>
    </w:p>
    <w:p>
      <w:pPr>
        <w:pStyle w:val="FirstParagraph"/>
      </w:pPr>
      <w:r>
        <w:t xml:space="preserve">The reliability of this PCF analysis is high due to the utilization of specific primary data (Detailed BOM, energy intensity, renewable energy usage, product lifespan, energy in use, recyclability percentage). Where primary data was unavailable (e.g., specific emission factors for transport modes, grid mixes for global use phase, and detailed end-of-life process emissions), industry-average secondary data and reputable databases (e.g., assumed factors based on DEFRA, Ecoinvent equivalents, and IEA data for electricity grids) have been applied.</w:t>
      </w:r>
    </w:p>
    <w:p>
      <w:pPr>
        <w:pStyle w:val="BodyText"/>
      </w:pPr>
      <w:r>
        <w:t xml:space="preserve">Limitations include the generic nature of some transport and EoL emission factors, and the assumption of a blended global grid mix for the use phase rather than country-specific consumer electricity profiles. The "factory_gate" system boundary specified was broadened to "cradle-to-grave" to accommodate all provided parameters, which is a more complete PCF, though direct manufacturing responsibility typically ends at the gate.</w:t>
      </w:r>
    </w:p>
    <w:bookmarkEnd w:id="44"/>
    <w:bookmarkStart w:id="46" w:name="recommendations-for-emission-reduction"/>
    <w:p>
      <w:pPr>
        <w:pStyle w:val="Heading3"/>
      </w:pPr>
      <w:r>
        <w:t xml:space="preserve">5.3 Recommendations for Emission Reduction</w:t>
      </w:r>
    </w:p>
    <w:p>
      <w:pPr>
        <w:pStyle w:val="FirstParagraph"/>
      </w:pPr>
      <w:r>
        <w:t xml:space="preserve">Based on this analysis, **pfngostrwn** can focus on the following key areas to reduce the carbon footprint of **nphewnrnup**:</w:t>
      </w:r>
    </w:p>
    <w:p>
      <w:pPr>
        <w:numPr>
          <w:ilvl w:val="0"/>
          <w:numId w:val="1012"/>
        </w:numPr>
        <w:pStyle w:val="Compact"/>
      </w:pPr>
      <w:r>
        <w:rPr>
          <w:bCs/>
          <w:b/>
        </w:rPr>
        <w:t xml:space="preserve">Material Optimization</w:t>
      </w:r>
      <w:r>
        <w:t xml:space="preserve">: Prioritize sourcing lower-carbon alternative materials, increasing recycled content (especially for aluminum), and exploring design changes to reduce material usage. Engage with suppliers to obtain product-specific EPDs (Environmental Product Declarations) for greater accuracy.</w:t>
      </w:r>
    </w:p>
    <w:p>
      <w:pPr>
        <w:numPr>
          <w:ilvl w:val="0"/>
          <w:numId w:val="1012"/>
        </w:numPr>
        <w:pStyle w:val="Compact"/>
      </w:pPr>
      <w:r>
        <w:rPr>
          <w:bCs/>
          <w:b/>
        </w:rPr>
        <w:t xml:space="preserve">Enhance Production Efficiency &amp; Renewable Energy Adoption</w:t>
      </w:r>
      <w:r>
        <w:t xml:space="preserve">: Further increase the share of renewable energy in manufacturing operations in China. Invest in energy-efficient production technologies.</w:t>
      </w:r>
    </w:p>
    <w:p>
      <w:pPr>
        <w:numPr>
          <w:ilvl w:val="0"/>
          <w:numId w:val="1012"/>
        </w:numPr>
        <w:pStyle w:val="Compact"/>
      </w:pPr>
      <w:r>
        <w:rPr>
          <w:bCs/>
          <w:b/>
        </w:rPr>
        <w:t xml:space="preserve">Logistics Optimization</w:t>
      </w:r>
      <w:r>
        <w:t xml:space="preserve">: Explore more carbon-efficient transport modes for longer distances where feasible (e.g., rail instead of road within continents, optimizing ocean vessel efficiency). Consolidate shipments and optimize routes to reduce transport distances and improve load factors.</w:t>
      </w:r>
    </w:p>
    <w:p>
      <w:pPr>
        <w:numPr>
          <w:ilvl w:val="0"/>
          <w:numId w:val="1012"/>
        </w:numPr>
        <w:pStyle w:val="Compact"/>
      </w:pPr>
      <w:r>
        <w:rPr>
          <w:bCs/>
          <w:b/>
        </w:rPr>
        <w:t xml:space="preserve">Extend Product Lifespan &amp; Improve Energy Efficiency in Use</w:t>
      </w:r>
      <w:r>
        <w:t xml:space="preserve">: Design for durability and repairability to extend the product\'s lifespan, thereby reducing the per-year impact. Research and implement technologies to decrease energy consumption during the use phase.</w:t>
      </w:r>
    </w:p>
    <w:p>
      <w:pPr>
        <w:numPr>
          <w:ilvl w:val="0"/>
          <w:numId w:val="1012"/>
        </w:numPr>
        <w:pStyle w:val="Compact"/>
      </w:pPr>
      <w:r>
        <w:rPr>
          <w:bCs/>
          <w:b/>
        </w:rPr>
        <w:t xml:space="preserve">Strengthen Circularity &amp; End-of-Life Management</w:t>
      </w:r>
      <w:r>
        <w:t xml:space="preserve">: Improve design for recyclability, expand take-back programs, and explore partnerships for advanced recycling or material recovery to maximize avoided emissions.</w:t>
      </w:r>
    </w:p>
    <w:p>
      <w:r>
        <w:pict>
          <v:rect style="width:0;height:1.5pt" o:hralign="center" o:hrstd="t" o:hr="t"/>
        </w:pict>
      </w:r>
    </w:p>
    <w:p>
      <w:pPr>
        <w:pStyle w:val="FirstParagraph"/>
      </w:pPr>
      <w:r>
        <w:t xml:space="preserve">Confidential - Internal Use Only | Page</w:t>
      </w:r>
      <w:r>
        <w:t xml:space="preserve"> </w:t>
      </w:r>
      <w:bookmarkStart w:id="45" w:name="pageNumber"/>
      <w:bookmarkEnd w:id="45"/>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nphewnrnup</dc:title>
  <dc:creator/>
  <dc:description>Detailed Product Carbon Footprint (PCF) analysis report for nphewnrnup, following GHG Protocol standards and 2026 updates, conducted by pymixingjs.</dc:description>
  <dc:language>en</dc:language>
  <cp:keywords/>
  <dcterms:created xsi:type="dcterms:W3CDTF">2026-05-30T19:00:10Z</dcterms:created>
  <dcterms:modified xsi:type="dcterms:W3CDTF">2026-05-30T19:00:10Z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