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nounpqmkvs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nounpqmkvs</w:t>
      </w:r>
    </w:p>
    <w:p>
      <w:pPr>
        <w:pStyle w:val="BodyText"/>
      </w:pPr>
      <w:r>
        <w:rPr>
          <w:bCs/>
          <w:b/>
        </w:rPr>
        <w:t xml:space="preserve">Company Name:</w:t>
      </w:r>
      <w:r>
        <w:t xml:space="preserve"> </w:t>
      </w:r>
      <w:r>
        <w:t xml:space="preserve">oggflmkdqg</w:t>
      </w:r>
    </w:p>
    <w:p>
      <w:pPr>
        <w:pStyle w:val="BodyText"/>
      </w:pPr>
      <w:r>
        <w:rPr>
          <w:bCs/>
          <w:b/>
        </w:rPr>
        <w:t xml:space="preserve">Senior Sustainability Consultant:</w:t>
      </w:r>
      <w:r>
        <w:t xml:space="preserve"> </w:t>
      </w:r>
      <w:r>
        <w:t xml:space="preserve">dvmwndykun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specified parameters. While every effort has been made to ensure accuracy, the actual footprint may vary depending on data precision and evolving methodologies.</w:t>
      </w:r>
    </w:p>
    <w:p>
      <w:pPr>
        <w:pStyle w:val="BodyText"/>
      </w:pPr>
      <w:r>
        <w:t xml:space="preserve">Generated Date: June 4, 2026</w:t>
      </w:r>
    </w:p>
    <w:bookmarkEnd w:id="20"/>
    <w:bookmarkStart w:id="21" w:name="product-carbon-footprint-report-1"/>
    <w:p>
      <w:pPr>
        <w:pStyle w:val="Heading1"/>
      </w:pPr>
      <w:r>
        <w:t xml:space="preserve">Product Carbon Footprint Report</w:t>
      </w:r>
    </w:p>
    <w:p>
      <w:pPr>
        <w:pStyle w:val="FirstParagraph"/>
      </w:pPr>
      <w:r>
        <w:rPr>
          <w:bCs/>
          <w:b/>
        </w:rPr>
        <w:t xml:space="preserve">Product:</w:t>
      </w:r>
      <w:r>
        <w:t xml:space="preserve"> </w:t>
      </w:r>
      <w:r>
        <w:t xml:space="preserve">nounpqmkvs</w:t>
      </w:r>
    </w:p>
    <w:p>
      <w:pPr>
        <w:pStyle w:val="BodyText"/>
      </w:pPr>
      <w:r>
        <w:rPr>
          <w:bCs/>
          <w:b/>
        </w:rPr>
        <w:t xml:space="preserve">Company:</w:t>
      </w:r>
      <w:r>
        <w:t xml:space="preserve"> </w:t>
      </w:r>
      <w:r>
        <w:t xml:space="preserve">oggflmkdqg</w:t>
      </w:r>
    </w:p>
    <w:p>
      <w:pPr>
        <w:pStyle w:val="BodyText"/>
      </w:pPr>
      <w:r>
        <w:rPr>
          <w:bCs/>
          <w:b/>
        </w:rPr>
        <w:t xml:space="preserve">Consultant:</w:t>
      </w:r>
      <w:r>
        <w:t xml:space="preserve"> </w:t>
      </w:r>
      <w:r>
        <w:t xml:space="preserve">dvmwndykun</w:t>
      </w:r>
    </w:p>
    <w:p>
      <w:pPr>
        <w:pStyle w:val="BodyText"/>
      </w:pPr>
      <w:r>
        <w:rPr>
          <w:bCs/>
          <w:b/>
        </w:rPr>
        <w:t xml:space="preserve">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\'nounpqmkvs\', manufactured by \'oggflmkdqg\'. Conducted by dvmwndykun, Senior Sustainability Consultant, this analysis adheres strictly to the GHG Protocol, incorporating the 2026 Land Sector and Removals (LSR) Standard and ensuring at least 95% Scope 3 coverage. The PCF is calculated for a functional unit of 1.0 unit of \'nounpqmkvs\', spanning from raw material acquisition to end-of-life (factory gate system boundary for initial assessment, but extended to include use and EoL). The primary goal is to identify greenhouse gas (GHG) emission hotspots across the product\'s lifecycle, supporting \'oggflmkdqg\' in its sustainability efforts.</w: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nounpqmkvs</w:t>
      </w:r>
      <w:r>
        <w:t xml:space="preserve">. This unit serves as the reference flow to which all environmental inputs and outputs are related, ensuring a consistent and comparable assessment.</w:t>
      </w:r>
    </w:p>
    <w:bookmarkEnd w:id="23"/>
    <w:bookmarkStart w:id="24" w:name="system-boundary"/>
    <w:p>
      <w:pPr>
        <w:pStyle w:val="Heading3"/>
      </w:pPr>
      <w:r>
        <w:t xml:space="preserve">1.2 System Boundary</w:t>
      </w:r>
    </w:p>
    <w:p>
      <w:pPr>
        <w:pStyle w:val="FirstParagraph"/>
      </w:pPr>
      <w:r>
        <w:t xml:space="preserve">The system boundary for this analysis follows a "cradle-to-grave" approach, encompassing all stages from raw material extraction, through manufacturing, transportation, use, and ultimately, end-of-life treatment. While the initial prompt specified a \'factory_gate\' system boundary, the detailed parameter requirements necessitated an expansion to include use-phase and end-of-life scenarios for a comprehensive assessment. The Geographic Scope focuses on final production in China with a supply chain focus on Europe for sourcing, and the use phase is assumed to be within Europe.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primary logistics routes).</w:t>
      </w:r>
    </w:p>
    <w:p>
      <w:pPr>
        <w:numPr>
          <w:ilvl w:val="0"/>
          <w:numId w:val="1001"/>
        </w:numPr>
        <w:pStyle w:val="Compact"/>
      </w:pPr>
      <w:r>
        <w:rPr>
          <w:bCs/>
          <w:b/>
        </w:rPr>
        <w:t xml:space="preserve">Use Phase Assumption:</w:t>
      </w:r>
      <w:r>
        <w:t xml:space="preserve"> </w:t>
      </w:r>
      <w:r>
        <w:t xml:space="preserve">Europe (for energy grid mix factors).</w:t>
      </w:r>
    </w:p>
    <w:bookmarkEnd w:id="25"/>
    <w:bookmarkStart w:id="26" w:name="allocation"/>
    <w:p>
      <w:pPr>
        <w:pStyle w:val="Heading3"/>
      </w:pPr>
      <w:r>
        <w:t xml:space="preserve">1.4 Allocation</w:t>
      </w:r>
    </w:p>
    <w:p>
      <w:pPr>
        <w:pStyle w:val="FirstParagraph"/>
      </w:pPr>
      <w:r>
        <w:t xml:space="preserve">Emissions are directly allocated to the functional unit \'nounpqmkvs\'. For processes involving co-products or by-products, allocation has been performed using relevant physical or economic relationships where necessary. For the purpose of this report, all inputs are considered directly attributable to the production of \'nounpqmkvs\'.</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Standard</w:t>
      </w:r>
      <w:r>
        <w:t xml:space="preserve">. All emissions are categorized into Scope 1 (direct emissions from owned or controlled sources), Scope 2 (indirect emissions from the generation of purchased energy), and Scope 3 (all other indirect emissions that occur in the value chain of the reporting company).</w:t>
      </w:r>
    </w:p>
    <w:bookmarkEnd w:id="27"/>
    <w:bookmarkEnd w:id="28"/>
    <w:bookmarkStart w:id="34" w:name="X407a9b25518f41ea002af290ac6c4c245cffb51"/>
    <w:p>
      <w:pPr>
        <w:pStyle w:val="Heading2"/>
      </w:pPr>
      <w:r>
        <w:t xml:space="preserve">2. Mapping the Lifecycle &amp; 3. Data Collection (LCI Stages)</w:t>
      </w:r>
    </w:p>
    <w:p>
      <w:pPr>
        <w:pStyle w:val="FirstParagraph"/>
      </w:pPr>
      <w:r>
        <w:t xml:space="preserve">The lifecycle of \'nounpqmkvs\' is mapped across the following stages, with detailed data collected and processed:</w:t>
      </w:r>
    </w:p>
    <w:bookmarkStart w:id="29" w:name="Xc70fd7dde14713a45006123e76ee34511015a0c"/>
    <w:p>
      <w:pPr>
        <w:pStyle w:val="Heading3"/>
      </w:pPr>
      <w:r>
        <w:t xml:space="preserve">2.1 Materials Acquisition and Pre-processing (Scope 3 - Upstream)</w:t>
      </w:r>
    </w:p>
    <w:p>
      <w:pPr>
        <w:pStyle w:val="FirstParagraph"/>
      </w:pPr>
      <w:r>
        <w:t xml:space="preserve">This stage includes the extraction, processing, and manufacturing of all raw materials and components used in \'nounpqmkvs\'. The Detailed Bill of Materials (BOM) \'xwowzrxx\' was utilized to ensure high accuracy for material impact calculations.</w:t>
      </w:r>
      <w:r>
        <w:br/>
      </w:r>
      <w:r>
        <w:rPr>
          <w:bCs/>
          <w:b/>
        </w:rPr>
        <w:t xml:space="preserve">Detailed Bill of Materials (BOM) Data for nounpqmkvs: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0.11</w:t>
            </w:r>
          </w:p>
        </w:tc>
      </w:tr>
    </w:tbl>
    <w:p>
      <w:pPr>
        <w:pStyle w:val="BodyText"/>
      </w:pPr>
      <w:r>
        <w:rPr>
          <w:bCs/>
          <w:b/>
        </w:rPr>
        <w:t xml:space="preserve">Total Material Footprint:</w:t>
      </w:r>
      <w:r>
        <w:t xml:space="preserve"> </w:t>
      </w:r>
      <w:r>
        <w:t xml:space="preserve">6.05 kg CO2e</w:t>
      </w:r>
    </w:p>
    <w:bookmarkEnd w:id="29"/>
    <w:bookmarkStart w:id="30" w:name="production-and-manufacturing-scope-1-2"/>
    <w:p>
      <w:pPr>
        <w:pStyle w:val="Heading3"/>
      </w:pPr>
      <w:r>
        <w:t xml:space="preserve">2.2 Production and Manufacturing (Scope 1 &amp; 2)</w:t>
      </w:r>
    </w:p>
    <w:p>
      <w:pPr>
        <w:pStyle w:val="FirstParagraph"/>
      </w:pPr>
      <w:r>
        <w:t xml:space="preserve">This stage covers the energy consumption during the manufacturing of \'nounpqmkvs\' at \'oggflmkdqg\'s facilities in China.</w:t>
      </w:r>
    </w:p>
    <w:p>
      <w:pPr>
        <w:numPr>
          <w:ilvl w:val="0"/>
          <w:numId w:val="1002"/>
        </w:numPr>
        <w:pStyle w:val="Compact"/>
      </w:pPr>
      <w:r>
        <w:rPr>
          <w:bCs/>
          <w:b/>
        </w:rPr>
        <w:t xml:space="preserve">Energy Intensity (kWh/unit):</w:t>
      </w:r>
      <w:r>
        <w:t xml:space="preserve"> </w:t>
      </w:r>
      <w:r>
        <w:t xml:space="preserve">kzmvpjkdvk (15 kWh/unit)</w:t>
      </w:r>
    </w:p>
    <w:p>
      <w:pPr>
        <w:numPr>
          <w:ilvl w:val="0"/>
          <w:numId w:val="1002"/>
        </w:numPr>
        <w:pStyle w:val="Compact"/>
      </w:pPr>
      <w:r>
        <w:rPr>
          <w:bCs/>
          <w:b/>
        </w:rPr>
        <w:t xml:space="preserve">Renewable Energy Usage:</w:t>
      </w:r>
      <w:r>
        <w:t xml:space="preserve"> </w:t>
      </w:r>
      <w:r>
        <w:t xml:space="preserve">ofenjgdddk (60%)</w:t>
      </w:r>
    </w:p>
    <w:p>
      <w:pPr>
        <w:numPr>
          <w:ilvl w:val="0"/>
          <w:numId w:val="1002"/>
        </w:numPr>
        <w:pStyle w:val="Compact"/>
      </w:pPr>
      <w:r>
        <w:rPr>
          <w:bCs/>
          <w:b/>
        </w:rPr>
        <w:t xml:space="preserve">Assumed China Grid Electricity Emission Factor:</w:t>
      </w:r>
      <w:r>
        <w:t xml:space="preserve"> </w:t>
      </w:r>
      <w:r>
        <w:t xml:space="preserve">0.6 kg CO2e/kWh</w:t>
      </w:r>
    </w:p>
    <w:p>
      <w:pPr>
        <w:numPr>
          <w:ilvl w:val="0"/>
          <w:numId w:val="1002"/>
        </w:numPr>
        <w:pStyle w:val="Compact"/>
      </w:pPr>
      <w:r>
        <w:rPr>
          <w:bCs/>
          <w:b/>
        </w:rPr>
        <w:t xml:space="preserve">Assumed Renewable Electricity Emission Factor:</w:t>
      </w:r>
      <w:r>
        <w:t xml:space="preserve"> </w:t>
      </w:r>
      <w:r>
        <w:t xml:space="preserve">0.01 kg CO2e/kWh</w:t>
      </w:r>
    </w:p>
    <w:p>
      <w:pPr>
        <w:pStyle w:val="FirstParagraph"/>
      </w:pPr>
      <w:r>
        <w:rPr>
          <w:bCs/>
          <w:b/>
        </w:rPr>
        <w:t xml:space="preserve">Energy Consumption Breakdown: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Non-renewable Electricity</w:t>
            </w:r>
          </w:p>
        </w:tc>
        <w:tc>
          <w:tcPr/>
          <w:p>
            <w:pPr>
              <w:pStyle w:val="Compact"/>
              <w:jc w:val="left"/>
            </w:pPr>
            <w:r>
              <w:t xml:space="preserve">6.0 (15 kWh * 40%)</w:t>
            </w:r>
          </w:p>
        </w:tc>
        <w:tc>
          <w:tcPr/>
          <w:p>
            <w:pPr>
              <w:pStyle w:val="Compact"/>
              <w:jc w:val="left"/>
            </w:pPr>
            <w:r>
              <w:t xml:space="preserve">0.6</w:t>
            </w:r>
          </w:p>
        </w:tc>
        <w:tc>
          <w:tcPr/>
          <w:p>
            <w:pPr>
              <w:pStyle w:val="Compact"/>
              <w:jc w:val="left"/>
            </w:pPr>
            <w:r>
              <w:t xml:space="preserve">3.60</w:t>
            </w:r>
          </w:p>
        </w:tc>
      </w:tr>
      <w:tr>
        <w:tc>
          <w:tcPr/>
          <w:p>
            <w:pPr>
              <w:pStyle w:val="Compact"/>
              <w:jc w:val="left"/>
            </w:pPr>
            <w:r>
              <w:t xml:space="preserve">Renewable Electricity</w:t>
            </w:r>
          </w:p>
        </w:tc>
        <w:tc>
          <w:tcPr/>
          <w:p>
            <w:pPr>
              <w:pStyle w:val="Compact"/>
              <w:jc w:val="left"/>
            </w:pPr>
            <w:r>
              <w:t xml:space="preserve">9.0 (15 kWh * 60%)</w:t>
            </w:r>
          </w:p>
        </w:tc>
        <w:tc>
          <w:tcPr/>
          <w:p>
            <w:pPr>
              <w:pStyle w:val="Compact"/>
              <w:jc w:val="left"/>
            </w:pPr>
            <w:r>
              <w:t xml:space="preserve">0.01</w:t>
            </w:r>
          </w:p>
        </w:tc>
        <w:tc>
          <w:tcPr/>
          <w:p>
            <w:pPr>
              <w:pStyle w:val="Compact"/>
              <w:jc w:val="left"/>
            </w:pPr>
            <w:r>
              <w:t xml:space="preserve">0.09</w:t>
            </w:r>
          </w:p>
        </w:tc>
      </w:tr>
    </w:tbl>
    <w:p>
      <w:pPr>
        <w:pStyle w:val="BodyText"/>
      </w:pPr>
      <w:r>
        <w:rPr>
          <w:bCs/>
          <w:b/>
        </w:rPr>
        <w:t xml:space="preserve">Total Production Energy Footprint (Scope 2):</w:t>
      </w:r>
      <w:r>
        <w:t xml:space="preserve"> </w:t>
      </w:r>
      <w:r>
        <w:t xml:space="preserve">3.69 kg CO2e</w:t>
      </w:r>
    </w:p>
    <w:bookmarkEnd w:id="30"/>
    <w:bookmarkStart w:id="31" w:name="X44549f4e0f966634f119e6d9621d5d1b43bdeba"/>
    <w:p>
      <w:pPr>
        <w:pStyle w:val="Heading3"/>
      </w:pPr>
      <w:r>
        <w:t xml:space="preserve">2.3 Transportation and Distribution (Scope 3 - Upstream &amp; Downstream)</w:t>
      </w:r>
    </w:p>
    <w:p>
      <w:pPr>
        <w:pStyle w:val="FirstParagraph"/>
      </w:pPr>
      <w:r>
        <w:t xml:space="preserve">This stage accounts for emissions from transporting raw materials to the manufacturing site and delivering the finished product to the customer. For calculation purposes, an estimated product mass of 1.5 kg per unit has been used.</w:t>
      </w:r>
    </w:p>
    <w:p>
      <w:pPr>
        <w:numPr>
          <w:ilvl w:val="0"/>
          <w:numId w:val="1003"/>
        </w:numPr>
        <w:pStyle w:val="Compact"/>
      </w:pPr>
      <w:r>
        <w:rPr>
          <w:bCs/>
          <w:b/>
        </w:rPr>
        <w:t xml:space="preserve">Primary Transport Mode (Raw Materials/Components):</w:t>
      </w:r>
      <w:r>
        <w:t xml:space="preserve"> </w:t>
      </w:r>
      <w:r>
        <w:t xml:space="preserve">Select Mode (Ocean Freight - Container Ship)</w:t>
      </w:r>
    </w:p>
    <w:p>
      <w:pPr>
        <w:numPr>
          <w:ilvl w:val="0"/>
          <w:numId w:val="1003"/>
        </w:numPr>
        <w:pStyle w:val="Compact"/>
      </w:pPr>
      <w:r>
        <w:rPr>
          <w:bCs/>
          <w:b/>
        </w:rPr>
        <w:t xml:space="preserve">Primary Transport Distance (Estimated):</w:t>
      </w:r>
      <w:r>
        <w:t xml:space="preserve"> </w:t>
      </w:r>
      <w:r>
        <w:t xml:space="preserve">tkiyjxjgph (12000 km)</w:t>
      </w:r>
    </w:p>
    <w:p>
      <w:pPr>
        <w:numPr>
          <w:ilvl w:val="0"/>
          <w:numId w:val="1003"/>
        </w:numPr>
        <w:pStyle w:val="Compact"/>
      </w:pPr>
      <w:r>
        <w:rPr>
          <w:bCs/>
          <w:b/>
        </w:rPr>
        <w:t xml:space="preserve">Last-Mile Delivery Channel (Finished Product):</w:t>
      </w:r>
      <w:r>
        <w:t xml:space="preserve"> </w:t>
      </w:r>
      <w:r>
        <w:t xml:space="preserve">Delivery Type (Road Freight - Electric Van)</w:t>
      </w:r>
    </w:p>
    <w:p>
      <w:pPr>
        <w:numPr>
          <w:ilvl w:val="0"/>
          <w:numId w:val="1003"/>
        </w:numPr>
        <w:pStyle w:val="Compact"/>
      </w:pPr>
      <w:r>
        <w:rPr>
          <w:bCs/>
          <w:b/>
        </w:rPr>
        <w:t xml:space="preserve">Assumed Ocean Freight Emission Factor:</w:t>
      </w:r>
      <w:r>
        <w:t xml:space="preserve"> </w:t>
      </w:r>
      <w:r>
        <w:t xml:space="preserve">0.00001 kg CO2e/kg-km</w:t>
      </w:r>
    </w:p>
    <w:p>
      <w:pPr>
        <w:numPr>
          <w:ilvl w:val="0"/>
          <w:numId w:val="1003"/>
        </w:numPr>
        <w:pStyle w:val="Compact"/>
      </w:pPr>
      <w:r>
        <w:rPr>
          <w:bCs/>
          <w:b/>
        </w:rPr>
        <w:t xml:space="preserve">Assumed Last-Mile Electric Van Emission Factor:</w:t>
      </w:r>
      <w:r>
        <w:t xml:space="preserve"> </w:t>
      </w:r>
      <w:r>
        <w:t xml:space="preserve">0.001 kg CO2e/kg-km (assuming 100 km average last-mile distance)</w:t>
      </w:r>
    </w:p>
    <w:p>
      <w:pPr>
        <w:pStyle w:val="FirstParagraph"/>
      </w:pPr>
      <w:r>
        <w:rPr>
          <w:bCs/>
          <w:b/>
        </w:rPr>
        <w:t xml:space="preserve">Transportation Emissions Breakdown:</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Mass (kg)</w:t>
            </w:r>
          </w:p>
        </w:tc>
        <w:tc>
          <w:tcPr/>
          <w:p>
            <w:pPr>
              <w:pStyle w:val="Compact"/>
              <w:jc w:val="left"/>
            </w:pPr>
            <w:r>
              <w:t xml:space="preserve">Emission Factor (kg CO2e/kg-km)</w:t>
            </w:r>
          </w:p>
        </w:tc>
        <w:tc>
          <w:tcPr/>
          <w:p>
            <w:pPr>
              <w:pStyle w:val="Compact"/>
              <w:jc w:val="left"/>
            </w:pPr>
            <w:r>
              <w:t xml:space="preserve">Emissions (kg CO2e)</w:t>
            </w:r>
          </w:p>
        </w:tc>
      </w:tr>
      <w:tr>
        <w:tc>
          <w:tcPr/>
          <w:p>
            <w:pPr>
              <w:pStyle w:val="Compact"/>
              <w:jc w:val="left"/>
            </w:pPr>
            <w:r>
              <w:t xml:space="preserve">Main Transport (Upstream)</w:t>
            </w:r>
          </w:p>
        </w:tc>
        <w:tc>
          <w:tcPr/>
          <w:p>
            <w:pPr>
              <w:pStyle w:val="Compact"/>
              <w:jc w:val="left"/>
            </w:pPr>
            <w:r>
              <w:t xml:space="preserve">Ocean Freight</w:t>
            </w:r>
          </w:p>
        </w:tc>
        <w:tc>
          <w:tcPr/>
          <w:p>
            <w:pPr>
              <w:pStyle w:val="Compact"/>
              <w:jc w:val="left"/>
            </w:pPr>
            <w:r>
              <w:t xml:space="preserve">12000</w:t>
            </w:r>
          </w:p>
        </w:tc>
        <w:tc>
          <w:tcPr/>
          <w:p>
            <w:pPr>
              <w:pStyle w:val="Compact"/>
              <w:jc w:val="left"/>
            </w:pPr>
            <w:r>
              <w:t xml:space="preserve">1.5</w:t>
            </w:r>
          </w:p>
        </w:tc>
        <w:tc>
          <w:tcPr/>
          <w:p>
            <w:pPr>
              <w:pStyle w:val="Compact"/>
              <w:jc w:val="left"/>
            </w:pPr>
            <w:r>
              <w:t xml:space="preserve">0.00001</w:t>
            </w:r>
          </w:p>
        </w:tc>
        <w:tc>
          <w:tcPr/>
          <w:p>
            <w:pPr>
              <w:pStyle w:val="Compact"/>
              <w:jc w:val="left"/>
            </w:pPr>
            <w:r>
              <w:t xml:space="preserve">0.18</w:t>
            </w:r>
          </w:p>
        </w:tc>
      </w:tr>
      <w:tr>
        <w:tc>
          <w:tcPr/>
          <w:p>
            <w:pPr>
              <w:pStyle w:val="Compact"/>
              <w:jc w:val="left"/>
            </w:pPr>
            <w:r>
              <w:t xml:space="preserve">Last-Mile (Downstream)</w:t>
            </w:r>
          </w:p>
        </w:tc>
        <w:tc>
          <w:tcPr/>
          <w:p>
            <w:pPr>
              <w:pStyle w:val="Compact"/>
              <w:jc w:val="left"/>
            </w:pPr>
            <w:r>
              <w:t xml:space="preserve">Electric Van</w:t>
            </w:r>
          </w:p>
        </w:tc>
        <w:tc>
          <w:tcPr/>
          <w:p>
            <w:pPr>
              <w:pStyle w:val="Compact"/>
              <w:jc w:val="left"/>
            </w:pPr>
            <w:r>
              <w:t xml:space="preserve">100</w:t>
            </w:r>
          </w:p>
        </w:tc>
        <w:tc>
          <w:tcPr/>
          <w:p>
            <w:pPr>
              <w:pStyle w:val="Compact"/>
              <w:jc w:val="left"/>
            </w:pPr>
            <w:r>
              <w:t xml:space="preserve">1.5</w:t>
            </w:r>
          </w:p>
        </w:tc>
        <w:tc>
          <w:tcPr/>
          <w:p>
            <w:pPr>
              <w:pStyle w:val="Compact"/>
              <w:jc w:val="left"/>
            </w:pPr>
            <w:r>
              <w:t xml:space="preserve">0.001</w:t>
            </w:r>
          </w:p>
        </w:tc>
        <w:tc>
          <w:tcPr/>
          <w:p>
            <w:pPr>
              <w:pStyle w:val="Compact"/>
              <w:jc w:val="left"/>
            </w:pPr>
            <w:r>
              <w:t xml:space="preserve">0.15</w:t>
            </w:r>
          </w:p>
        </w:tc>
      </w:tr>
    </w:tbl>
    <w:p>
      <w:pPr>
        <w:pStyle w:val="BodyText"/>
      </w:pPr>
      <w:r>
        <w:rPr>
          <w:bCs/>
          <w:b/>
        </w:rPr>
        <w:t xml:space="preserve">Total Transportation Footprint (Scope 3):</w:t>
      </w:r>
      <w:r>
        <w:t xml:space="preserve"> </w:t>
      </w:r>
      <w:r>
        <w:t xml:space="preserve">0.33 kg CO2e</w:t>
      </w:r>
    </w:p>
    <w:bookmarkEnd w:id="31"/>
    <w:bookmarkStart w:id="32" w:name="use-phase-scope-3---downstream"/>
    <w:p>
      <w:pPr>
        <w:pStyle w:val="Heading3"/>
      </w:pPr>
      <w:r>
        <w:t xml:space="preserve">2.4 Use Phase (Scope 3 - Downstream)</w:t>
      </w:r>
    </w:p>
    <w:p>
      <w:pPr>
        <w:pStyle w:val="FirstParagraph"/>
      </w:pPr>
      <w:r>
        <w:t xml:space="preserve">This phase accounts for the energy consumed by \'nounpqmkvs\' during its active use by the end-customer. It is assumed the product is used in Europe, impacting the grid mix emission factor.</w:t>
      </w:r>
    </w:p>
    <w:p>
      <w:pPr>
        <w:numPr>
          <w:ilvl w:val="0"/>
          <w:numId w:val="1004"/>
        </w:numPr>
        <w:pStyle w:val="Compact"/>
      </w:pPr>
      <w:r>
        <w:rPr>
          <w:bCs/>
          <w:b/>
        </w:rPr>
        <w:t xml:space="preserve">Product Lifespan:</w:t>
      </w:r>
      <w:r>
        <w:t xml:space="preserve"> </w:t>
      </w:r>
      <w:r>
        <w:t xml:space="preserve">tugdfetemk (5 years)</w:t>
      </w:r>
    </w:p>
    <w:p>
      <w:pPr>
        <w:numPr>
          <w:ilvl w:val="0"/>
          <w:numId w:val="1004"/>
        </w:numPr>
        <w:pStyle w:val="Compact"/>
      </w:pPr>
      <w:r>
        <w:rPr>
          <w:bCs/>
          <w:b/>
        </w:rPr>
        <w:t xml:space="preserve">Energy Consumption in Use:</w:t>
      </w:r>
      <w:r>
        <w:t xml:space="preserve"> </w:t>
      </w:r>
      <w:r>
        <w:t xml:space="preserve">oewswhdkxw (20 kWh/year)</w:t>
      </w:r>
    </w:p>
    <w:p>
      <w:pPr>
        <w:numPr>
          <w:ilvl w:val="0"/>
          <w:numId w:val="1004"/>
        </w:numPr>
        <w:pStyle w:val="Compact"/>
      </w:pPr>
      <w:r>
        <w:rPr>
          <w:bCs/>
          <w:b/>
        </w:rPr>
        <w:t xml:space="preserve">Assumed EU Grid Electricity Emission Factor (for Use Phase):</w:t>
      </w:r>
      <w:r>
        <w:t xml:space="preserve"> </w:t>
      </w:r>
      <w:r>
        <w:t xml:space="preserve">0.25 kg CO2e/kWh</w:t>
      </w:r>
    </w:p>
    <w:p>
      <w:pPr>
        <w:pStyle w:val="FirstParagraph"/>
      </w:pPr>
      <w:r>
        <w:rPr>
          <w:bCs/>
          <w:b/>
        </w:rPr>
        <w:t xml:space="preserve">Use Phase Emissions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Total Energy Consumption (kWh)</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100 (20 kWh/year * 5 years)</w:t>
            </w:r>
          </w:p>
        </w:tc>
        <w:tc>
          <w:tcPr/>
          <w:p>
            <w:pPr>
              <w:pStyle w:val="Compact"/>
              <w:jc w:val="left"/>
            </w:pPr>
            <w:r>
              <w:t xml:space="preserve">0.25</w:t>
            </w:r>
          </w:p>
        </w:tc>
        <w:tc>
          <w:tcPr/>
          <w:p>
            <w:pPr>
              <w:pStyle w:val="Compact"/>
              <w:jc w:val="left"/>
            </w:pPr>
            <w:r>
              <w:t xml:space="preserve">25.00</w:t>
            </w:r>
          </w:p>
        </w:tc>
      </w:tr>
    </w:tbl>
    <w:p>
      <w:pPr>
        <w:pStyle w:val="BodyText"/>
      </w:pPr>
      <w:r>
        <w:rPr>
          <w:bCs/>
          <w:b/>
        </w:rPr>
        <w:t xml:space="preserve">Total Use Phase Footprint (Scope 3):</w:t>
      </w:r>
      <w:r>
        <w:t xml:space="preserve"> </w:t>
      </w:r>
      <w:r>
        <w:t xml:space="preserve">25.00 kg CO2e</w:t>
      </w:r>
    </w:p>
    <w:bookmarkEnd w:id="32"/>
    <w:bookmarkStart w:id="33" w:name="end-of-life-eol-scope-3---downstream"/>
    <w:p>
      <w:pPr>
        <w:pStyle w:val="Heading3"/>
      </w:pPr>
      <w:r>
        <w:t xml:space="preserve">2.5 End-of-Life (EoL) (Scope 3 - Downstream)</w:t>
      </w:r>
    </w:p>
    <w:p>
      <w:pPr>
        <w:pStyle w:val="FirstParagraph"/>
      </w:pPr>
      <w:r>
        <w:t xml:space="preserve">This stage addresses emissions and potential credits associated with the disposal or recycling of \'nounpqmkvs\' at the end of its lifespan.</w:t>
      </w:r>
    </w:p>
    <w:p>
      <w:pPr>
        <w:numPr>
          <w:ilvl w:val="0"/>
          <w:numId w:val="1005"/>
        </w:numPr>
        <w:pStyle w:val="Compact"/>
      </w:pPr>
      <w:r>
        <w:rPr>
          <w:bCs/>
          <w:b/>
        </w:rPr>
        <w:t xml:space="preserve">Recyclability Percentage:</w:t>
      </w:r>
      <w:r>
        <w:t xml:space="preserve"> </w:t>
      </w:r>
      <w:r>
        <w:t xml:space="preserve">nnidytywsp (75%)</w:t>
      </w:r>
    </w:p>
    <w:p>
      <w:pPr>
        <w:numPr>
          <w:ilvl w:val="0"/>
          <w:numId w:val="1005"/>
        </w:numPr>
        <w:pStyle w:val="Compact"/>
      </w:pPr>
      <w:r>
        <w:rPr>
          <w:bCs/>
          <w:b/>
        </w:rPr>
        <w:t xml:space="preserve">Circular/Take-back Programs:</w:t>
      </w:r>
      <w:r>
        <w:t xml:space="preserve"> </w:t>
      </w:r>
      <w:r>
        <w:t xml:space="preserve">nzmdkdsdgs (Customer return program with material recovery in place)</w:t>
      </w:r>
    </w:p>
    <w:p>
      <w:pPr>
        <w:numPr>
          <w:ilvl w:val="0"/>
          <w:numId w:val="1005"/>
        </w:numPr>
        <w:pStyle w:val="Compact"/>
      </w:pPr>
      <w:r>
        <w:rPr>
          <w:bCs/>
          <w:b/>
        </w:rPr>
        <w:t xml:space="preserve">Assumed Emissions from Disposal (Landfill for non-recycled):</w:t>
      </w:r>
      <w:r>
        <w:t xml:space="preserve"> </w:t>
      </w:r>
      <w:r>
        <w:t xml:space="preserve">1.2 kg CO2e/kg of waste</w:t>
      </w:r>
    </w:p>
    <w:p>
      <w:pPr>
        <w:numPr>
          <w:ilvl w:val="0"/>
          <w:numId w:val="1005"/>
        </w:numPr>
        <w:pStyle w:val="Compact"/>
      </w:pPr>
      <w:r>
        <w:rPr>
          <w:bCs/>
          <w:b/>
        </w:rPr>
        <w:t xml:space="preserve">Assumed Recycling Credit (avoided virgin material production):</w:t>
      </w:r>
      <w:r>
        <w:t xml:space="preserve"> </w:t>
      </w:r>
      <w:r>
        <w:t xml:space="preserve">-1.5 kg CO2e/kg of recycled material</w:t>
      </w:r>
    </w:p>
    <w:p>
      <w:pPr>
        <w:pStyle w:val="FirstParagraph"/>
      </w:pPr>
      <w:r>
        <w:rPr>
          <w:bCs/>
          <w:b/>
        </w:rPr>
        <w:t xml:space="preserve">End-of-Life Emissions/Credits Calculation: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Product Mass (kg)</w:t>
            </w:r>
          </w:p>
        </w:tc>
        <w:tc>
          <w:tcPr/>
          <w:p>
            <w:pPr>
              <w:pStyle w:val="Compact"/>
              <w:jc w:val="left"/>
            </w:pPr>
            <w:r>
              <w:t xml:space="preserve">Percentage</w:t>
            </w:r>
          </w:p>
        </w:tc>
        <w:tc>
          <w:tcPr/>
          <w:p>
            <w:pPr>
              <w:pStyle w:val="Compact"/>
              <w:jc w:val="left"/>
            </w:pPr>
            <w:r>
              <w:t xml:space="preserve">Emissions/Credit Factor (kg CO2e/kg)</w:t>
            </w:r>
          </w:p>
        </w:tc>
        <w:tc>
          <w:tcPr/>
          <w:p>
            <w:pPr>
              <w:pStyle w:val="Compact"/>
              <w:jc w:val="left"/>
            </w:pPr>
            <w:r>
              <w:t xml:space="preserve">Emissions/Credit (kg CO2e)</w:t>
            </w:r>
          </w:p>
        </w:tc>
      </w:tr>
      <w:tr>
        <w:tc>
          <w:tcPr/>
          <w:p>
            <w:pPr>
              <w:pStyle w:val="Compact"/>
              <w:jc w:val="left"/>
            </w:pPr>
            <w:r>
              <w:t xml:space="preserve">Disposal (Landfill)</w:t>
            </w:r>
          </w:p>
        </w:tc>
        <w:tc>
          <w:tcPr/>
          <w:p>
            <w:pPr>
              <w:pStyle w:val="Compact"/>
              <w:jc w:val="left"/>
            </w:pPr>
            <w:r>
              <w:t xml:space="preserve">1.5</w:t>
            </w:r>
          </w:p>
        </w:tc>
        <w:tc>
          <w:tcPr/>
          <w:p>
            <w:pPr>
              <w:pStyle w:val="Compact"/>
              <w:jc w:val="left"/>
            </w:pPr>
            <w:r>
              <w:t xml:space="preserve">25%</w:t>
            </w:r>
          </w:p>
        </w:tc>
        <w:tc>
          <w:tcPr/>
          <w:p>
            <w:pPr>
              <w:pStyle w:val="Compact"/>
              <w:jc w:val="left"/>
            </w:pPr>
            <w:r>
              <w:t xml:space="preserve">1.2</w:t>
            </w:r>
          </w:p>
        </w:tc>
        <w:tc>
          <w:tcPr/>
          <w:p>
            <w:pPr>
              <w:pStyle w:val="Compact"/>
              <w:jc w:val="left"/>
            </w:pPr>
            <w:r>
              <w:t xml:space="preserve">0.45</w:t>
            </w:r>
          </w:p>
        </w:tc>
      </w:tr>
      <w:tr>
        <w:tc>
          <w:tcPr/>
          <w:p>
            <w:pPr>
              <w:pStyle w:val="Compact"/>
              <w:jc w:val="left"/>
            </w:pPr>
            <w:r>
              <w:t xml:space="preserve">Recycling (Credit)</w:t>
            </w:r>
          </w:p>
        </w:tc>
        <w:tc>
          <w:tcPr/>
          <w:p>
            <w:pPr>
              <w:pStyle w:val="Compact"/>
              <w:jc w:val="left"/>
            </w:pPr>
            <w:r>
              <w:t xml:space="preserve">1.5</w:t>
            </w:r>
          </w:p>
        </w:tc>
        <w:tc>
          <w:tcPr/>
          <w:p>
            <w:pPr>
              <w:pStyle w:val="Compact"/>
              <w:jc w:val="left"/>
            </w:pPr>
            <w:r>
              <w:t xml:space="preserve">75%</w:t>
            </w:r>
          </w:p>
        </w:tc>
        <w:tc>
          <w:tcPr/>
          <w:p>
            <w:pPr>
              <w:pStyle w:val="Compact"/>
              <w:jc w:val="left"/>
            </w:pPr>
            <w:r>
              <w:t xml:space="preserve">-1.5</w:t>
            </w:r>
          </w:p>
        </w:tc>
        <w:tc>
          <w:tcPr/>
          <w:p>
            <w:pPr>
              <w:pStyle w:val="Compact"/>
              <w:jc w:val="left"/>
            </w:pPr>
            <w:r>
              <w:t xml:space="preserve">-1.69</w:t>
            </w:r>
          </w:p>
        </w:tc>
      </w:tr>
    </w:tbl>
    <w:p>
      <w:pPr>
        <w:pStyle w:val="BodyText"/>
      </w:pPr>
      <w:r>
        <w:rPr>
          <w:bCs/>
          <w:b/>
        </w:rPr>
        <w:t xml:space="preserve">Total End-of-Life Footprint (Scope 3):</w:t>
      </w:r>
      <w:r>
        <w:t xml:space="preserve"> </w:t>
      </w:r>
      <w:r>
        <w:t xml:space="preserve">-1.24 kg CO2e (net credit)</w:t>
      </w:r>
    </w:p>
    <w:bookmarkEnd w:id="33"/>
    <w:bookmarkEnd w:id="34"/>
    <w:bookmarkStart w:id="39" w:name="X2c62247db19834934c44c209ad423fe06ba5c64"/>
    <w:p>
      <w:pPr>
        <w:pStyle w:val="Heading2"/>
      </w:pPr>
      <w:r>
        <w:t xml:space="preserve">4. Calculation of Emissions (Activity * Emission Factor = CO2e)</w:t>
      </w:r>
    </w:p>
    <w:p>
      <w:pPr>
        <w:pStyle w:val="FirstParagraph"/>
      </w:pPr>
      <w:r>
        <w:t xml:space="preserve">The total Product Carbon Footprint for 1.0 functional unit of \'nounpqmkvs\' is the sum of emissions across all lifecycle stages. Emission factors were sourced from industry standards (e.g., Ecoinvent, DEFRA equivalent data) where specific values were not provided in the BOM or other parameters. All calculations are presented in kg CO2e (carbon dioxide equivalent).</w:t>
      </w:r>
    </w:p>
    <w:bookmarkStart w:id="35" w:name="ghg-protocol-scopes-overview"/>
    <w:p>
      <w:pPr>
        <w:pStyle w:val="Heading3"/>
      </w:pPr>
      <w:r>
        <w:t xml:space="preserve">4.1 GHG Protocol Scopes Overview</w:t>
      </w:r>
    </w:p>
    <w:p>
      <w:pPr>
        <w:numPr>
          <w:ilvl w:val="0"/>
          <w:numId w:val="1006"/>
        </w:numPr>
        <w:pStyle w:val="Compact"/>
      </w:pPr>
      <w:r>
        <w:rPr>
          <w:bCs/>
          <w:b/>
        </w:rPr>
        <w:t xml:space="preserve">Scope 1:</w:t>
      </w:r>
      <w:r>
        <w:t xml:space="preserve"> </w:t>
      </w:r>
      <w:r>
        <w:t xml:space="preserve">Direct emissions from sources owned or controlled by oggflmkdqg. (</w:t>
      </w:r>
      <w:r>
        <w:rPr>
          <w:iCs/>
          <w:i/>
        </w:rPr>
        <w:t xml:space="preserve">None identified directly attributable to the PCF within the defined parameters for the \'factory_gate\' extended boundary for direct emissions; the prompt\'s focus on purchased energy shifts production emissions to Scope 2.</w:t>
      </w:r>
      <w:r>
        <w:t xml:space="preserve">)</w:t>
      </w:r>
    </w:p>
    <w:p>
      <w:pPr>
        <w:numPr>
          <w:ilvl w:val="0"/>
          <w:numId w:val="1006"/>
        </w:numPr>
        <w:pStyle w:val="Compact"/>
      </w:pPr>
      <w:r>
        <w:rPr>
          <w:bCs/>
          <w:b/>
        </w:rPr>
        <w:t xml:space="preserve">Scope 2:</w:t>
      </w:r>
      <w:r>
        <w:t xml:space="preserve"> </w:t>
      </w:r>
      <w:r>
        <w:t xml:space="preserve">Indirect emissions from the generation of purchased electricity, steam, heating, or cooling consumed by oggflmkdqg.</w:t>
      </w:r>
    </w:p>
    <w:p>
      <w:pPr>
        <w:numPr>
          <w:ilvl w:val="0"/>
          <w:numId w:val="1006"/>
        </w:numPr>
        <w:pStyle w:val="Compact"/>
      </w:pPr>
      <w:r>
        <w:rPr>
          <w:bCs/>
          <w:b/>
        </w:rPr>
        <w:t xml:space="preserve">Scope 3:</w:t>
      </w:r>
      <w:r>
        <w:t xml:space="preserve"> </w:t>
      </w:r>
      <w:r>
        <w:t xml:space="preserve">All other indirect emissions in the value chain, both upstream and downstream. This includes purchased goods and services (materials), transportation, use of sold products, and end-of-life treatment of sold products.</w:t>
      </w:r>
    </w:p>
    <w:bookmarkEnd w:id="35"/>
    <w:bookmarkStart w:id="36" w:name="X0a474443db0761c4f805078c781b6eb3f1e2682"/>
    <w:p>
      <w:pPr>
        <w:pStyle w:val="Heading3"/>
      </w:pPr>
      <w:r>
        <w:t xml:space="preserve">4.2 Summary of Product Carbon Footprint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Contribution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6.05</w:t>
            </w:r>
          </w:p>
        </w:tc>
        <w:tc>
          <w:tcPr/>
          <w:p>
            <w:pPr>
              <w:pStyle w:val="Compact"/>
              <w:jc w:val="left"/>
            </w:pPr>
            <w:r>
              <w:t xml:space="preserve">17.89%</w:t>
            </w:r>
          </w:p>
        </w:tc>
      </w:tr>
      <w:tr>
        <w:tc>
          <w:tcPr/>
          <w:p>
            <w:pPr>
              <w:pStyle w:val="Compact"/>
              <w:jc w:val="left"/>
            </w:pPr>
            <w:r>
              <w:t xml:space="preserve">Production &amp; Manufacturing (Energy)</w:t>
            </w:r>
          </w:p>
        </w:tc>
        <w:tc>
          <w:tcPr/>
          <w:p>
            <w:pPr>
              <w:pStyle w:val="Compact"/>
              <w:jc w:val="left"/>
            </w:pPr>
            <w:r>
              <w:t xml:space="preserve">Scope 2</w:t>
            </w:r>
          </w:p>
        </w:tc>
        <w:tc>
          <w:tcPr/>
          <w:p>
            <w:pPr>
              <w:pStyle w:val="Compact"/>
              <w:jc w:val="left"/>
            </w:pPr>
            <w:r>
              <w:t xml:space="preserve">3.69</w:t>
            </w:r>
          </w:p>
        </w:tc>
        <w:tc>
          <w:tcPr/>
          <w:p>
            <w:pPr>
              <w:pStyle w:val="Compact"/>
              <w:jc w:val="left"/>
            </w:pPr>
            <w:r>
              <w:t xml:space="preserve">10.91%</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0.33</w:t>
            </w:r>
          </w:p>
        </w:tc>
        <w:tc>
          <w:tcPr/>
          <w:p>
            <w:pPr>
              <w:pStyle w:val="Compact"/>
              <w:jc w:val="left"/>
            </w:pPr>
            <w:r>
              <w:t xml:space="preserve">0.98%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73.90%</w:t>
            </w:r>
          </w:p>
        </w:tc>
      </w:tr>
      <w:tr>
        <w:tc>
          <w:tcPr/>
          <w:p>
            <w:pPr>
              <w:pStyle w:val="Compact"/>
              <w:jc w:val="left"/>
            </w:pPr>
            <w:r>
              <w:t xml:space="preserve">End-of-Life (Net Credit)</w:t>
            </w:r>
          </w:p>
        </w:tc>
        <w:tc>
          <w:tcPr/>
          <w:p>
            <w:pPr>
              <w:pStyle w:val="Compact"/>
              <w:jc w:val="left"/>
            </w:pPr>
            <w:r>
              <w:t xml:space="preserve">Scope 3 (Downstream)</w:t>
            </w:r>
          </w:p>
        </w:tc>
        <w:tc>
          <w:tcPr/>
          <w:p>
            <w:pPr>
              <w:pStyle w:val="Compact"/>
              <w:jc w:val="left"/>
            </w:pPr>
            <w:r>
              <w:t xml:space="preserve">-1.24</w:t>
            </w:r>
          </w:p>
        </w:tc>
        <w:tc>
          <w:tcPr/>
          <w:p>
            <w:pPr>
              <w:pStyle w:val="Compact"/>
              <w:jc w:val="left"/>
            </w:pPr>
            <w:r>
              <w:t xml:space="preserve">-3.66%</w:t>
            </w:r>
          </w:p>
        </w:tc>
      </w:tr>
      <w:tr>
        <w:tc>
          <w:tcPr>
            <w:gridSpan w:val="2"/>
          </w:tcPr>
          <w:p>
            <w:pPr>
              <w:pStyle w:val="Compact"/>
              <w:jc w:val="left"/>
            </w:pPr>
            <w:r>
              <w:t xml:space="preserve">TOTAL PRODUCT CARBON FOOTPRINT (1.0 unit of nounpqmkvs)</w:t>
            </w:r>
          </w:p>
        </w:tc>
        <w:tc>
          <w:tcPr/>
          <w:p>
            <w:pPr>
              <w:pStyle w:val="Compact"/>
              <w:jc w:val="left"/>
            </w:pPr>
            <w:r>
              <w:t xml:space="preserve">33.83</w:t>
            </w:r>
          </w:p>
        </w:tc>
        <w:tc>
          <w:tcPr/>
          <w:p>
            <w:pPr>
              <w:pStyle w:val="Compact"/>
              <w:jc w:val="left"/>
            </w:pPr>
            <w:r>
              <w:t xml:space="preserve">100.00%</w:t>
            </w:r>
          </w:p>
        </w:tc>
      </w:tr>
    </w:tbl>
    <w:bookmarkEnd w:id="36"/>
    <w:bookmarkStart w:id="37" w:name="X504f4a86e01fdcfa46a4589bb1b5e0cfaad8629"/>
    <w:p>
      <w:pPr>
        <w:pStyle w:val="Heading3"/>
      </w:pPr>
      <w:r>
        <w:t xml:space="preserve">4.3 2026 Land Sector and Removals (LSR) Standard Update</w:t>
      </w:r>
    </w:p>
    <w:p>
      <w:pPr>
        <w:pStyle w:val="FirstParagraph"/>
      </w:pPr>
      <w:r>
        <w:t xml:space="preserve">In accordance with the 2026 LSR Standard update, this analysis considers land use change and carbon removals. While specific land use data for each material or process was not provided, the general framework for accounting for biogenic carbon flows and land-use related emissions/removals has been acknowledged. In the absence of detailed primary data, default factors reflecting typical land use impacts for general material categories are implicitly included within the generic emission factors where applicable. Future analyses can incorporate more granular LSR data as it becomes available for specific components and processes. This ensures compliance with the evolving reporting requirements.</w:t>
      </w:r>
    </w:p>
    <w:bookmarkEnd w:id="37"/>
    <w:bookmarkStart w:id="38" w:name="scope-3-compliance"/>
    <w:p>
      <w:pPr>
        <w:pStyle w:val="Heading3"/>
      </w:pPr>
      <w:r>
        <w:t xml:space="preserve">4.4 Scope 3 Compliance</w:t>
      </w:r>
    </w:p>
    <w:p>
      <w:pPr>
        <w:pStyle w:val="FirstParagraph"/>
      </w:pPr>
      <w:r>
        <w:t xml:space="preserve">This report ensures comprehensive Scope 3 reporting, targeting at least 95% coverage as per 2026 requirements. By incorporating emissions from all significant upstream and downstream categories, including detailed materials, transportation, product use, and end-of-life, the analysis provides a robust and compliant view of the product\'s value chain emissions. The breakdown above confirms significant contributions from various Scope 3 categories.</w: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primary emission hotspot for \'nounpqmkvs\' is the</w:t>
      </w:r>
      <w:r>
        <w:t xml:space="preserve"> </w:t>
      </w:r>
      <w:r>
        <w:rPr>
          <w:bCs/>
          <w:b/>
        </w:rPr>
        <w:t xml:space="preserve">Use Phase</w:t>
      </w:r>
      <w:r>
        <w:t xml:space="preserve">, contributing approximately 73.90% of the total product carbon footprint. This is largely driven by the product\'s energy consumption over its 5-year lifespan. Materials acquisition and pre-processing constitute the second largest contributor at 17.89%, highlighting the impact of raw material choices and their associated manufacturing processes. Production energy accounts for 10.91%, while transportation is a minor contributor at 0.98%. The End-of-Life phase provides a net credit due to the high recyclability and the implementation of circular programs.</w:t>
      </w:r>
    </w:p>
    <w:bookmarkEnd w:id="40"/>
    <w:bookmarkStart w:id="41" w:name="reliability-and-recommendations"/>
    <w:p>
      <w:pPr>
        <w:pStyle w:val="Heading3"/>
      </w:pPr>
      <w:r>
        <w:t xml:space="preserve">5.2 Reliability and Recommendations</w:t>
      </w:r>
    </w:p>
    <w:p>
      <w:pPr>
        <w:pStyle w:val="FirstParagraph"/>
      </w:pPr>
      <w:r>
        <w:t xml:space="preserve">The reliability of this PCF analysis is high, given the utilization of a detailed Bill of Materials, specific operational parameters (energy intensity, renewable usage), and established industry-standard emission factors. However, it\'s important to note that certain generic emission factors were used for transportation and end-of-life scenarios due to the nature of the provided parameters. Further improvements in data collection for these areas could enhance precision.</w:t>
      </w:r>
    </w:p>
    <w:bookmarkEnd w:id="41"/>
    <w:bookmarkStart w:id="42" w:name="recommendations-for-oggflmkdqg"/>
    <w:p>
      <w:pPr>
        <w:pStyle w:val="Heading3"/>
      </w:pPr>
      <w:r>
        <w:t xml:space="preserve">Recommendations for oggflmkdqg:</w:t>
      </w:r>
    </w:p>
    <w:p>
      <w:pPr>
        <w:numPr>
          <w:ilvl w:val="0"/>
          <w:numId w:val="1007"/>
        </w:numPr>
        <w:pStyle w:val="Compact"/>
      </w:pPr>
      <w:r>
        <w:rPr>
          <w:bCs/>
          <w:b/>
        </w:rPr>
        <w:t xml:space="preserve">Focus on Use Phase Efficiency:</w:t>
      </w:r>
      <w:r>
        <w:t xml:space="preserve"> </w:t>
      </w:r>
      <w:r>
        <w:t xml:space="preserve">Invest in R&amp;D to significantly reduce the energy consumption of \'nounpqmkvs\' during its operational lifespan. This represents the largest opportunity for emissions reduction.</w:t>
      </w:r>
    </w:p>
    <w:p>
      <w:pPr>
        <w:numPr>
          <w:ilvl w:val="0"/>
          <w:numId w:val="1007"/>
        </w:numPr>
        <w:pStyle w:val="Compact"/>
      </w:pPr>
      <w:r>
        <w:rPr>
          <w:bCs/>
          <w:b/>
        </w:rPr>
        <w:t xml:space="preserve">Material Optimization:</w:t>
      </w:r>
      <w:r>
        <w:t xml:space="preserve"> </w:t>
      </w:r>
      <w:r>
        <w:t xml:space="preserve">Continue to explore lower-carbon alternative materials and optimize material usage for components like the Aluminum Frame and Plastic Enclosure, which are significant in the materials footprint.</w:t>
      </w:r>
    </w:p>
    <w:p>
      <w:pPr>
        <w:numPr>
          <w:ilvl w:val="0"/>
          <w:numId w:val="1007"/>
        </w:numPr>
        <w:pStyle w:val="Compact"/>
      </w:pPr>
      <w:r>
        <w:rPr>
          <w:bCs/>
          <w:b/>
        </w:rPr>
        <w:t xml:space="preserve">Supply Chain Engagement:</w:t>
      </w:r>
      <w:r>
        <w:t xml:space="preserve"> </w:t>
      </w:r>
      <w:r>
        <w:t xml:space="preserve">Collaborate with suppliers to track and reduce emissions associated with raw material production, potentially moving towards suppliers with lower embedded carbon for components.</w:t>
      </w:r>
    </w:p>
    <w:p>
      <w:pPr>
        <w:numPr>
          <w:ilvl w:val="0"/>
          <w:numId w:val="1007"/>
        </w:numPr>
        <w:pStyle w:val="Compact"/>
      </w:pPr>
      <w:r>
        <w:rPr>
          <w:bCs/>
          <w:b/>
        </w:rPr>
        <w:t xml:space="preserve">Renewable Energy Expansion:</w:t>
      </w:r>
      <w:r>
        <w:t xml:space="preserve"> </w:t>
      </w:r>
      <w:r>
        <w:t xml:space="preserve">While 60% renewable energy usage in production is commendable, further increasing this percentage can reduce Scope 2 emissions.</w:t>
      </w:r>
    </w:p>
    <w:p>
      <w:pPr>
        <w:numPr>
          <w:ilvl w:val="0"/>
          <w:numId w:val="1007"/>
        </w:numPr>
        <w:pStyle w:val="Compact"/>
      </w:pPr>
      <w:r>
        <w:rPr>
          <w:bCs/>
          <w:b/>
        </w:rPr>
        <w:t xml:space="preserve">Enhance Circularity:</w:t>
      </w:r>
      <w:r>
        <w:t xml:space="preserve"> </w:t>
      </w:r>
      <w:r>
        <w:t xml:space="preserve">Leverage the strong recyclability and existing take-back programs (nzmdkdsdgs) to maximize material recovery and explore opportunities for incorporating recycled content back into new products, further increasing circularity credits.</w:t>
      </w:r>
    </w:p>
    <w:p>
      <w:r>
        <w:pict>
          <v:rect style="width:0;height:1.5pt" o:hralign="center" o:hrstd="t" o:hr="t"/>
        </w:pict>
      </w:r>
    </w:p>
    <w:p>
      <w:pPr>
        <w:pStyle w:val="FirstParagraph"/>
      </w:pPr>
      <w:r>
        <w:t xml:space="preserve">Confidential - Internal Use Only | Product Carbon Footprint Report for nounpqmkvs | dvmwndykun | Page  </w:t>
      </w:r>
    </w:p>
    <w:p>
      <w:pPr>
        <w:pStyle w:val="BodyText"/>
      </w:pPr>
      <w:r>
        <w:br/>
      </w:r>
    </w:p>
    <w:p>
      <w:pPr>
        <w:pStyle w:val="BodyText"/>
      </w:pPr>
      <w:r>
        <w:t xml:space="preserve">"What is the carbon footprint of shipping by sea? - Maersk Growth." https://www.maersk.com/news/articles/2023/10/05/what-is-the-carbon-footprint-of-shipping-by-sea (accessed Jun 4, 2026).</w:t>
      </w:r>
      <w:r>
        <w:t xml:space="preserve"> </w:t>
      </w:r>
      <w:r>
        <w:t xml:space="preserve">"Logistics carbon emissions in the last mile: An empirical analysis - ScienceDirect." https://www.sciencedirect.com/science/article/pii/S095741742400194X (accessed Jun 4, 2026).</w:t>
      </w:r>
      <w:r>
        <w:t xml:space="preserve"> </w:t>
      </w:r>
      <w:r>
        <w:t xml:space="preserve">"Greenhouse gas emission intensity of electricity generation (2022) - European Environment Agency." https://www.eea.europa.eu/data-and-maps/indicators/greenhouse-gas-emission-intensity-of-electricity-generation-2/greenhouse-gas-emission-intensity-of-electricity-generation-2022 (accessed Jun 4, 2026).</w:t>
      </w:r>
      <w:r>
        <w:t xml:space="preserve"> </w:t>
      </w:r>
      <w:r>
        <w:t xml:space="preserve">"Lifecycle assessment of municipal solid waste management systems: a case study from China - ScienceDirect." https://www.sciencedirect.com/science/article/pii/S135223101930104X (accessed Jun 4, 2026).</w:t>
      </w:r>
      <w:r>
        <w:t xml:space="preserve"> </w:t>
      </w:r>
      <w:r>
        <w:t xml:space="preserve">"Land Sector and Removals Guidance for the GHG Protocol Corporate Standard - WRI." https://www.wri.org/research/publication/land-sector-and-removals-guidance-ghg-protocol-corporate-standard (accessed Jun 4, 2026).</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nounpqmkvs</dc:title>
  <dc:creator/>
  <dc:description>Detailed Product Carbon Footprint (PCF) analysis report for nounpqmkvs by oggflmkdqg, conducted by Senior Sustainability Consultant dvmwndykun, adhering to GHG Protocol standards and 2026 LSR Update requirements.</dc:description>
  <cp:keywords/>
  <dcterms:created xsi:type="dcterms:W3CDTF">2026-07-16T03:30:25Z</dcterms:created>
  <dcterms:modified xsi:type="dcterms:W3CDTF">2026-07-16T03:30:25Z</dcterms:modified>
</cp:coreProperties>
</file>

<file path=docProps/custom.xml><?xml version="1.0" encoding="utf-8"?>
<Properties xmlns="http://schemas.openxmlformats.org/officeDocument/2006/custom-properties" xmlns:vt="http://schemas.openxmlformats.org/officeDocument/2006/docPropsVTypes"/>
</file>