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notxznvjhk</w:t>
      </w:r>
      <w:r>
        <w:t xml:space="preserve"> </w:t>
      </w:r>
      <w:r>
        <w:t xml:space="preserve">-</w:t>
      </w:r>
      <w:r>
        <w:t xml:space="preserve"> </w:t>
      </w:r>
      <w:r>
        <w:t xml:space="preserve">xxxwfjsmxv</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notxznvjhk</w:t>
      </w:r>
    </w:p>
    <w:p>
      <w:pPr>
        <w:pStyle w:val="BodyText"/>
      </w:pPr>
      <w:r>
        <w:rPr>
          <w:bCs/>
          <w:b/>
        </w:rPr>
        <w:t xml:space="preserve">Company Name:</w:t>
      </w:r>
      <w:r>
        <w:t xml:space="preserve"> </w:t>
      </w:r>
      <w:r>
        <w:t xml:space="preserve">xxxwfjsmxv</w:t>
      </w:r>
    </w:p>
    <w:p>
      <w:pPr>
        <w:pStyle w:val="BodyText"/>
      </w:pPr>
      <w:r>
        <w:rPr>
          <w:bCs/>
          <w:b/>
        </w:rPr>
        <w:t xml:space="preserve">Senior Sustainability Consultant:</w:t>
      </w:r>
      <w:r>
        <w:t xml:space="preserve"> </w:t>
      </w:r>
      <w:r>
        <w:t xml:space="preserve">xwusggnlgl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Due to the placeholder nature of some input parameters, specific numerical results for certain lifecycle stages are illustrative and would require actual, quantitative data for precise calculation.</w:t>
      </w:r>
    </w:p>
    <w:bookmarkEnd w:id="20"/>
    <w:bookmarkStart w:id="35" w:name="X117564fec398eeed8114ad427ab359c43ff418d"/>
    <w:p>
      <w:pPr>
        <w:pStyle w:val="Heading1"/>
      </w:pPr>
      <w:r>
        <w:t xml:space="preserve">Product Carbon Footprint Report for notxznvjhk</w:t>
      </w:r>
    </w:p>
    <w:p>
      <w:pPr>
        <w:pStyle w:val="FirstParagraph"/>
      </w:pPr>
      <w:r>
        <w:rPr>
          <w:bCs/>
          <w:b/>
        </w:rPr>
        <w:t xml:space="preserve">Generated Date:</w:t>
      </w:r>
      <w:r>
        <w:t xml:space="preserve"> </w:t>
      </w:r>
      <w:r>
        <w:t xml:space="preserve">Monday, June 1, 2026, 12:54 PM UTC</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"notxznvjhk", manufactured by "xxxwfjsmxv". The analysis was conducted by Senior Sustainability Consultant xwusggnlgl, adhering strictly to the GHG Protocol. This assessment covers the product\'s lifecycle from raw material extraction to end-of-life, with a system boundary defined as "factory_gate" for the primary production, and a broader scope for upstream and downstream activities. Special attention has been paid to incorporating the 2026 Land Sector and Removals (LSR) Standard and ensuring at least 95% coverage for Scope 3 emissions, as per current GHG Protocol requirements. While the methodology is robust, specific numerical results for certain lifecycle stages are illustrative, pending the provision of actual quantitative data for all designated placeholders.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initial phase of the PCF analysis establishes the foundational parameters for the assessment, ensuring clarity and consistency in the subsequent calculations.</w:t>
      </w:r>
    </w:p>
    <w:p>
      <w:pPr>
        <w:numPr>
          <w:ilvl w:val="0"/>
          <w:numId w:val="1001"/>
        </w:numPr>
        <w:pStyle w:val="Compact"/>
      </w:pPr>
      <w:r>
        <w:rPr>
          <w:bCs/>
          <w:b/>
        </w:rPr>
        <w:t xml:space="preserve">Functional Unit:</w:t>
      </w:r>
      <w:r>
        <w:t xml:space="preserve"> </w:t>
      </w:r>
      <w:r>
        <w:t xml:space="preserve">The reference unit for this PCF study is 1.0 unit of "notxznvjhk". This unit serves as the basis for all quantified environmental impacts.</w:t>
      </w:r>
    </w:p>
    <w:p>
      <w:pPr>
        <w:numPr>
          <w:ilvl w:val="0"/>
          <w:numId w:val="1001"/>
        </w:numPr>
        <w:pStyle w:val="Compact"/>
      </w:pPr>
      <w:r>
        <w:rPr>
          <w:bCs/>
          <w:b/>
        </w:rPr>
        <w:t xml:space="preserve">System Boundary:</w:t>
      </w:r>
      <w:r>
        <w:t xml:space="preserve"> </w:t>
      </w:r>
      <w:r>
        <w:t xml:space="preserve">The system boundary for this analysis is defined as "factory_gate". This encompasses all processes from raw material acquisition, through manufacturing, up to the point where the finished product leaves the factory gate. Upstream (e.g., raw material extraction, component production) and selected downstream (e.g., transport to customer, use phase, end-of-life) activities are also included to ensure comprehensive Scope 3 coverage.</w:t>
      </w:r>
    </w:p>
    <w:p>
      <w:pPr>
        <w:numPr>
          <w:ilvl w:val="0"/>
          <w:numId w:val="1001"/>
        </w:numPr>
        <w:pStyle w:val="Compact"/>
      </w:pPr>
      <w:r>
        <w:rPr>
          <w:bCs/>
          <w:b/>
        </w:rPr>
        <w:t xml:space="preserve">Geographic Scope:</w:t>
      </w:r>
      <w:r>
        <w:t xml:space="preserve"> </w:t>
      </w:r>
      <w:r>
        <w:t xml:space="preserve">The final production country for notxznvjhk is China. The supply chain focus is Europe Focused, indicating that upstream impacts related to raw materials and components predominantly originate from or are routed through Europe.</w:t>
      </w:r>
    </w:p>
    <w:p>
      <w:pPr>
        <w:numPr>
          <w:ilvl w:val="0"/>
          <w:numId w:val="1001"/>
        </w:numPr>
        <w:pStyle w:val="Compact"/>
      </w:pPr>
      <w:r>
        <w:rPr>
          <w:bCs/>
          <w:b/>
        </w:rPr>
        <w:t xml:space="preserve">Allocation:</w:t>
      </w:r>
      <w:r>
        <w:t xml:space="preserve"> </w:t>
      </w:r>
      <w:r>
        <w:t xml:space="preserve">In this PCF, environmental burdens and benefits are allocated based on physical causality where possible. For co-product or recycling scenarios, mass allocation is prioritized, aligning with industry best practices for product-level assessments.</w:t>
      </w:r>
    </w:p>
    <w:p>
      <w:pPr>
        <w:numPr>
          <w:ilvl w:val="0"/>
          <w:numId w:val="1001"/>
        </w:numPr>
        <w:pStyle w:val="Compact"/>
      </w:pPr>
      <w:r>
        <w:rPr>
          <w:bCs/>
          <w:b/>
        </w:rPr>
        <w:t xml:space="preserve">Accounting Standard:</w:t>
      </w:r>
      <w:r>
        <w:t xml:space="preserve"> </w:t>
      </w:r>
      <w:r>
        <w:t xml:space="preserve">This PCF analysis strictly adheres to the GHG Protocol (Product Standard), providing a comprehensive and globally recognized framework for measuring and reporting greenhouse gas emissions.</w:t>
      </w:r>
    </w:p>
    <w:p>
      <w:pPr>
        <w:numPr>
          <w:ilvl w:val="0"/>
          <w:numId w:val="1001"/>
        </w:numPr>
        <w:pStyle w:val="Compact"/>
      </w:pPr>
      <w:r>
        <w:rPr>
          <w:bCs/>
          <w:b/>
        </w:rPr>
        <w:t xml:space="preserve">2026 LSR Update:</w:t>
      </w:r>
      <w:r>
        <w:t xml:space="preserve"> </w:t>
      </w:r>
      <w:r>
        <w:t xml:space="preserve">The analysis incorporates the Land Sector and Removals (LSR) Standard, ensuring that emissions and removals related to land use and land-use change are accounted for in accordance with the latest 2026 requirements.</w:t>
      </w:r>
    </w:p>
    <w:p>
      <w:pPr>
        <w:numPr>
          <w:ilvl w:val="0"/>
          <w:numId w:val="1001"/>
        </w:numPr>
        <w:pStyle w:val="Compact"/>
      </w:pPr>
      <w:r>
        <w:rPr>
          <w:bCs/>
          <w:b/>
        </w:rPr>
        <w:t xml:space="preserve">Scope 3 Compliance:</w:t>
      </w:r>
      <w:r>
        <w:t xml:space="preserve"> </w:t>
      </w:r>
      <w:r>
        <w:t xml:space="preserve">A primary objective of this assessment is to ensure at least 95% coverage for Scope 3 emissions, aligning with the stringent 2026 requirements of the GHG Protocol. This involves a thorough analysis of all relevant value chain activities.</w:t>
      </w:r>
    </w:p>
    <w:p>
      <w:r>
        <w:pict>
          <v:rect style="width:0;height:1.5pt" o:hralign="center" o:hrstd="t" o:hr="t"/>
        </w:pict>
      </w:r>
    </w:p>
    <w:bookmarkEnd w:id="22"/>
    <w:bookmarkStart w:id="28" w:name="lifecycle-mapping-3.-data-collection"/>
    <w:p>
      <w:pPr>
        <w:pStyle w:val="Heading2"/>
      </w:pPr>
      <w:r>
        <w:t xml:space="preserve">2. Lifecycle Mapping &amp; 3. Data Collection</w:t>
      </w:r>
    </w:p>
    <w:p>
      <w:pPr>
        <w:pStyle w:val="FirstParagraph"/>
      </w:pPr>
      <w:r>
        <w:t xml:space="preserve">This section details the various stages of the product\'s lifecycle and outlines the data points collected or assumed for the emission calculations.</w:t>
      </w:r>
    </w:p>
    <w:bookmarkStart w:id="23" w:name="X9e909da6ac3b2d13c90d2e8899e8f08cd1667f4"/>
    <w:p>
      <w:pPr>
        <w:pStyle w:val="Heading3"/>
      </w:pPr>
      <w:r>
        <w:t xml:space="preserve">Detailed Bill of Materials (BOM) - tdtregmh</w:t>
      </w:r>
    </w:p>
    <w:p>
      <w:pPr>
        <w:pStyle w:val="FirstParagraph"/>
      </w:pPr>
      <w:r>
        <w:t xml:space="preserve">The Bill of Materials (BOM), identified as "tdtregmh", is crucial for a high-accuracy material impact calculation. While the specific numerical data for "tdtregmh" was provided as a placeholder for the BOM content, its described structure allowed for a detailed breakdown of materials. For illustrative purposes, example data is provided below, demonstrating how the actual BOM would contribute to the material footprint. The "Total Carbon" value from each item would be directly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Silicon</w:t>
            </w:r>
          </w:p>
        </w:tc>
        <w:tc>
          <w:tcPr/>
          <w:p>
            <w:pPr>
              <w:pStyle w:val="Compact"/>
              <w:jc w:val="left"/>
            </w:pPr>
            <w:r>
              <w:t xml:space="preserve">Semiconductor Fab</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 Mill</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iCs/>
          <w:i/>
        </w:rPr>
        <w:t xml:space="preserve">Note: The values for \'Qty\', \'Emission Factor\', and \'Total Carbon\' in this table are illustrative placeholders. Actual calculations would use the specific values provided in the "tdtregmh" BOM.</w:t>
      </w:r>
    </w:p>
    <w:bookmarkEnd w:id="23"/>
    <w:bookmarkStart w:id="24" w:name="production-energy"/>
    <w:p>
      <w:pPr>
        <w:pStyle w:val="Heading3"/>
      </w:pPr>
      <w:r>
        <w:t xml:space="preserve">Production Energy</w:t>
      </w:r>
    </w:p>
    <w:p>
      <w:pPr>
        <w:pStyle w:val="FirstParagraph"/>
      </w:pPr>
      <w:r>
        <w:t xml:space="preserve">The energy consumed during the production phase is a significant contributor to the PCF.</w:t>
      </w:r>
    </w:p>
    <w:p>
      <w:pPr>
        <w:numPr>
          <w:ilvl w:val="0"/>
          <w:numId w:val="1002"/>
        </w:numPr>
        <w:pStyle w:val="Compact"/>
      </w:pPr>
      <w:r>
        <w:rPr>
          <w:bCs/>
          <w:b/>
        </w:rPr>
        <w:t xml:space="preserve">Renewable Energy Usage:</w:t>
      </w:r>
      <w:r>
        <w:t xml:space="preserve"> </w:t>
      </w:r>
      <w:r>
        <w:t xml:space="preserve">qipxqrxqyq (This percentage would ideally offset a portion of grid electricity emissions).</w:t>
      </w:r>
    </w:p>
    <w:p>
      <w:pPr>
        <w:numPr>
          <w:ilvl w:val="0"/>
          <w:numId w:val="1002"/>
        </w:numPr>
        <w:pStyle w:val="Compact"/>
      </w:pPr>
      <w:r>
        <w:rPr>
          <w:bCs/>
          <w:b/>
        </w:rPr>
        <w:t xml:space="preserve">Energy Intensity (kWh/unit):</w:t>
      </w:r>
      <w:r>
        <w:t xml:space="preserve"> </w:t>
      </w:r>
      <w:r>
        <w:t xml:space="preserve">eifmosmvos (This represents the electricity consumed per functional unit during manufacturing).</w:t>
      </w:r>
    </w:p>
    <w:p>
      <w:pPr>
        <w:pStyle w:val="FirstParagraph"/>
      </w:pPr>
      <w:r>
        <w:rPr>
          <w:iCs/>
          <w:i/>
        </w:rPr>
        <w:t xml:space="preserve">Note: Specific numerical values for \'qipxqrxqyq\' and \'eifmosmvos\' are placeholders. Actual calculations would rely on quantitative data for these parameters.</w:t>
      </w:r>
    </w:p>
    <w:bookmarkEnd w:id="24"/>
    <w:bookmarkStart w:id="25" w:name="logistics"/>
    <w:p>
      <w:pPr>
        <w:pStyle w:val="Heading3"/>
      </w:pPr>
      <w:r>
        <w:t xml:space="preserve">Logistics</w:t>
      </w:r>
    </w:p>
    <w:p>
      <w:pPr>
        <w:pStyle w:val="FirstParagraph"/>
      </w:pPr>
      <w:r>
        <w:t xml:space="preserve">Transportation of materials and finished products contributes to Scope 3 emissions.</w:t>
      </w:r>
    </w:p>
    <w:p>
      <w:pPr>
        <w:numPr>
          <w:ilvl w:val="0"/>
          <w:numId w:val="1003"/>
        </w:numPr>
        <w:pStyle w:val="Compact"/>
      </w:pPr>
      <w:r>
        <w:rPr>
          <w:bCs/>
          <w:b/>
        </w:rPr>
        <w:t xml:space="preserve">Transport Mode (from factory to distribution):</w:t>
      </w:r>
      <w:r>
        <w:t xml:space="preserve"> </w:t>
      </w:r>
      <w:r>
        <w:t xml:space="preserve">Select Mode (e.g., Road freight, Sea freight, Air freight).</w:t>
      </w:r>
    </w:p>
    <w:p>
      <w:pPr>
        <w:numPr>
          <w:ilvl w:val="0"/>
          <w:numId w:val="1003"/>
        </w:numPr>
        <w:pStyle w:val="Compact"/>
      </w:pPr>
      <w:r>
        <w:rPr>
          <w:bCs/>
          <w:b/>
        </w:rPr>
        <w:t xml:space="preserve">Transport Distance (from factory to distribution):</w:t>
      </w:r>
      <w:r>
        <w:t xml:space="preserve"> </w:t>
      </w:r>
      <w:r>
        <w:t xml:space="preserve">xwlvydljok (e.g., in km).</w:t>
      </w:r>
    </w:p>
    <w:p>
      <w:pPr>
        <w:numPr>
          <w:ilvl w:val="0"/>
          <w:numId w:val="1003"/>
        </w:numPr>
        <w:pStyle w:val="Compact"/>
      </w:pPr>
      <w:r>
        <w:rPr>
          <w:bCs/>
          <w:b/>
        </w:rPr>
        <w:t xml:space="preserve">Last-Mile Delivery Channel:</w:t>
      </w:r>
      <w:r>
        <w:t xml:space="preserve"> </w:t>
      </w:r>
      <w:r>
        <w:t xml:space="preserve">Delivery Type (e.g., Courier, Postal Service, Retail Pickup).</w:t>
      </w:r>
    </w:p>
    <w:p>
      <w:pPr>
        <w:pStyle w:val="FirstParagraph"/>
      </w:pPr>
      <w:r>
        <w:rPr>
          <w:iCs/>
          <w:i/>
        </w:rPr>
        <w:t xml:space="preserve">Note: Specific numerical values for \'Select Mode\', \'xwlvydljok\', and \'Delivery Type\' are placeholders. Actual calculations would require concrete logistics data.</w:t>
      </w:r>
    </w:p>
    <w:bookmarkEnd w:id="25"/>
    <w:bookmarkStart w:id="26" w:name="use-phase"/>
    <w:p>
      <w:pPr>
        <w:pStyle w:val="Heading3"/>
      </w:pPr>
      <w:r>
        <w:t xml:space="preserve">Use Phase</w:t>
      </w:r>
    </w:p>
    <w:p>
      <w:pPr>
        <w:pStyle w:val="FirstParagraph"/>
      </w:pPr>
      <w:r>
        <w:t xml:space="preserve">The product\'s energy consumption and lifespan during its use by the consumer are crucial for a complete PCF.</w:t>
      </w:r>
    </w:p>
    <w:p>
      <w:pPr>
        <w:numPr>
          <w:ilvl w:val="0"/>
          <w:numId w:val="1004"/>
        </w:numPr>
        <w:pStyle w:val="Compact"/>
      </w:pPr>
      <w:r>
        <w:rPr>
          <w:bCs/>
          <w:b/>
        </w:rPr>
        <w:t xml:space="preserve">Product Lifespan:</w:t>
      </w:r>
      <w:r>
        <w:t xml:space="preserve"> </w:t>
      </w:r>
      <w:r>
        <w:t xml:space="preserve">difwrvyrne (e.g., in years).</w:t>
      </w:r>
    </w:p>
    <w:p>
      <w:pPr>
        <w:numPr>
          <w:ilvl w:val="0"/>
          <w:numId w:val="1004"/>
        </w:numPr>
        <w:pStyle w:val="Compact"/>
      </w:pPr>
      <w:r>
        <w:rPr>
          <w:bCs/>
          <w:b/>
        </w:rPr>
        <w:t xml:space="preserve">Energy Consumption in Use:</w:t>
      </w:r>
      <w:r>
        <w:t xml:space="preserve"> </w:t>
      </w:r>
      <w:r>
        <w:t xml:space="preserve">nzptsepzlz (e.g., kWh/year).</w:t>
      </w:r>
    </w:p>
    <w:p>
      <w:pPr>
        <w:pStyle w:val="FirstParagraph"/>
      </w:pPr>
      <w:r>
        <w:rPr>
          <w:iCs/>
          <w:i/>
        </w:rPr>
        <w:t xml:space="preserve">Note: Specific numerical values for \'difwrvyrne\' and \'nzptsepzlz\' are placeholders. Actual calculations would depend on user behavior and product specifications.</w:t>
      </w:r>
    </w:p>
    <w:bookmarkEnd w:id="26"/>
    <w:bookmarkStart w:id="27" w:name="end-of-life-eol-scenarios"/>
    <w:p>
      <w:pPr>
        <w:pStyle w:val="Heading3"/>
      </w:pPr>
      <w:r>
        <w:t xml:space="preserve">End-of-Life (EoL) Scenarios</w:t>
      </w:r>
    </w:p>
    <w:p>
      <w:pPr>
        <w:pStyle w:val="FirstParagraph"/>
      </w:pPr>
      <w:r>
        <w:t xml:space="preserve">The fate of the product at the end of its useful life impacts its overall footprint, particularly concerning waste management and circularity.</w:t>
      </w:r>
    </w:p>
    <w:p>
      <w:pPr>
        <w:numPr>
          <w:ilvl w:val="0"/>
          <w:numId w:val="1005"/>
        </w:numPr>
        <w:pStyle w:val="Compact"/>
      </w:pPr>
      <w:r>
        <w:rPr>
          <w:bCs/>
          <w:b/>
        </w:rPr>
        <w:t xml:space="preserve">Recyclability Percentage:</w:t>
      </w:r>
      <w:r>
        <w:t xml:space="preserve"> </w:t>
      </w:r>
      <w:r>
        <w:t xml:space="preserve">nlhhzfdidx (This percentage indicates the proportion of the product that can be recycled).</w:t>
      </w:r>
    </w:p>
    <w:p>
      <w:pPr>
        <w:numPr>
          <w:ilvl w:val="0"/>
          <w:numId w:val="1005"/>
        </w:numPr>
        <w:pStyle w:val="Compact"/>
      </w:pPr>
      <w:r>
        <w:rPr>
          <w:bCs/>
          <w:b/>
        </w:rPr>
        <w:t xml:space="preserve">Circular/Take-back Programs:</w:t>
      </w:r>
      <w:r>
        <w:t xml:space="preserve"> </w:t>
      </w:r>
      <w:r>
        <w:t xml:space="preserve">puiwydnsvx (Description of any programs in place to recover and reuse materials).</w:t>
      </w:r>
    </w:p>
    <w:p>
      <w:pPr>
        <w:pStyle w:val="FirstParagraph"/>
      </w:pPr>
      <w:r>
        <w:rPr>
          <w:iCs/>
          <w:i/>
        </w:rPr>
        <w:t xml:space="preserve">Note: Specific numerical values for \'nlhhzfdidx\' and details on \'puiwydnsvx\' are placeholders. Actual assessments would quantify the benefits or burdens of these scenarios.</w:t>
      </w:r>
    </w:p>
    <w:p>
      <w:r>
        <w:pict>
          <v:rect style="width:0;height:1.5pt" o:hralign="center" o:hrstd="t" o:hr="t"/>
        </w:pict>
      </w:r>
    </w:p>
    <w:bookmarkEnd w:id="27"/>
    <w:bookmarkEnd w:id="28"/>
    <w:bookmarkStart w:id="31" w:name="emission-calculation"/>
    <w:p>
      <w:pPr>
        <w:pStyle w:val="Heading2"/>
      </w:pPr>
      <w:r>
        <w:t xml:space="preserve">4. Emission Calculation</w:t>
      </w:r>
    </w:p>
    <w:p>
      <w:pPr>
        <w:pStyle w:val="FirstParagraph"/>
      </w:pPr>
      <w:r>
        <w:t xml:space="preserve">The calculation of emissions aggregates data from all lifecycle stages, categorizing them according to the GHG Protocol\'s Scope 1, 2, and 3. Industry-standard emission factors (e.g., from Ecoinvent/DEFRA equivalents) are used where specific factors are not provided in the BOM.</w:t>
      </w:r>
    </w:p>
    <w:bookmarkStart w:id="29" w:name="ghg-protocol-scopes-overview"/>
    <w:p>
      <w:pPr>
        <w:pStyle w:val="Heading3"/>
      </w:pPr>
      <w:r>
        <w:t xml:space="preserve">GHG Protocol Scopes Overview</w:t>
      </w:r>
    </w:p>
    <w:p>
      <w:pPr>
        <w:numPr>
          <w:ilvl w:val="0"/>
          <w:numId w:val="1006"/>
        </w:numPr>
        <w:pStyle w:val="Compact"/>
      </w:pPr>
      <w:r>
        <w:rPr>
          <w:bCs/>
          <w:b/>
        </w:rPr>
        <w:t xml:space="preserve">Scope 1 (Direct Emissions):</w:t>
      </w:r>
      <w:r>
        <w:t xml:space="preserve"> </w:t>
      </w:r>
      <w:r>
        <w:t xml:space="preserve">Emissions from sources owned or controlled by the company (e.g., manufacturing facilities\' direct fuel combustion). For a "factory_gate" system boundary with a focus on product PCF, this would typically be integrated into the production energy impact.</w:t>
      </w:r>
    </w:p>
    <w:p>
      <w:pPr>
        <w:numPr>
          <w:ilvl w:val="0"/>
          <w:numId w:val="1006"/>
        </w:numPr>
        <w:pStyle w:val="Compact"/>
      </w:pPr>
      <w:r>
        <w:rPr>
          <w:bCs/>
          <w:b/>
        </w:rPr>
        <w:t xml:space="preserve">Scope 2 (Purchased Energy Emissions):</w:t>
      </w:r>
      <w:r>
        <w:t xml:space="preserve"> </w:t>
      </w:r>
      <w:r>
        <w:t xml:space="preserve">Indirect emissions from the generation of purchased electricity, steam, heating, and cooling consumed by the company.</w:t>
      </w:r>
    </w:p>
    <w:p>
      <w:pPr>
        <w:numPr>
          <w:ilvl w:val="0"/>
          <w:numId w:val="1006"/>
        </w:numPr>
        <w:pStyle w:val="Compact"/>
      </w:pPr>
      <w:r>
        <w:rPr>
          <w:bCs/>
          <w:b/>
        </w:rPr>
        <w:t xml:space="preserve">Scope 3 (Value Chain Emissions):</w:t>
      </w:r>
      <w:r>
        <w:t xml:space="preserve"> </w:t>
      </w:r>
      <w:r>
        <w:t xml:space="preserve">All other indirect emissions that occur in the value chain of the reporting company, both upstream and downstream. This includes purchased goods and services (materials), transportation, use of sold products, and end-of-life treatment. This analysis aims for at least 95% coverage for Scope 3, as per 2026 requirements.</w:t>
      </w:r>
    </w:p>
    <w:bookmarkEnd w:id="29"/>
    <w:bookmarkStart w:id="30" w:name="illustrative-pcf-calculation-summary"/>
    <w:p>
      <w:pPr>
        <w:pStyle w:val="Heading3"/>
      </w:pPr>
      <w:r>
        <w:t xml:space="preserve">Illustrative PCF Calculation Summary</w:t>
      </w:r>
    </w:p>
    <w:p>
      <w:pPr>
        <w:pStyle w:val="FirstParagraph"/>
      </w:pPr>
      <w:r>
        <w:t xml:space="preserve">Based on the illustrative BOM data and assumptions for other lifecycle stages due to placeholder values, the following table provides an example of how the PCF would be calculated.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CO2e/functional unit)</w:t>
            </w:r>
          </w:p>
        </w:tc>
        <w:tc>
          <w:tcPr/>
          <w:p>
            <w:pPr>
              <w:pStyle w:val="Compact"/>
              <w:jc w:val="left"/>
            </w:pPr>
            <w:r>
              <w:t xml:space="preserve">GHG Scope</w:t>
            </w:r>
          </w:p>
        </w:tc>
        <w:tc>
          <w:tcPr/>
          <w:p>
            <w:pPr>
              <w:pStyle w:val="Compact"/>
              <w:jc w:val="left"/>
            </w:pPr>
            <w:r>
              <w:t xml:space="preserve">Notes</w:t>
            </w:r>
          </w:p>
        </w:tc>
      </w:tr>
      <w:tr>
        <w:tc>
          <w:tcPr/>
          <w:p>
            <w:pPr>
              <w:pStyle w:val="Compact"/>
              <w:jc w:val="left"/>
            </w:pPr>
            <w:r>
              <w:rPr>
                <w:bCs/>
                <w:b/>
              </w:rPr>
              <w:t xml:space="preserve">Material Acquisition &amp; Production (Upstream)</w:t>
            </w:r>
          </w:p>
        </w:tc>
        <w:tc>
          <w:tcPr/>
          <w:p>
            <w:pPr>
              <w:pStyle w:val="Compact"/>
              <w:jc w:val="left"/>
            </w:pPr>
            <w:r>
              <w:t xml:space="preserve">6.84</w:t>
            </w:r>
          </w:p>
        </w:tc>
        <w:tc>
          <w:tcPr/>
          <w:p>
            <w:pPr>
              <w:pStyle w:val="Compact"/>
              <w:jc w:val="left"/>
            </w:pPr>
            <w:r>
              <w:t xml:space="preserve">Scope 3 (Category 1)</w:t>
            </w:r>
          </w:p>
        </w:tc>
        <w:tc>
          <w:tcPr/>
          <w:p>
            <w:pPr>
              <w:pStyle w:val="Compact"/>
              <w:jc w:val="left"/>
            </w:pPr>
            <w:r>
              <w:t xml:space="preserve">Sum of \'Total Carbon\' from illustrative BOM. This would derive from `tdtregmh` values.</w:t>
            </w:r>
          </w:p>
        </w:tc>
      </w:tr>
      <w:tr>
        <w:tc>
          <w:tcPr/>
          <w:p>
            <w:pPr>
              <w:pStyle w:val="Compact"/>
              <w:jc w:val="left"/>
            </w:pPr>
            <w:r>
              <w:rPr>
                <w:bCs/>
                <w:b/>
              </w:rPr>
              <w:t xml:space="preserve">Manufacturing &amp; Assembly (Direct Operations - China)</w:t>
            </w:r>
          </w:p>
        </w:tc>
        <w:tc>
          <w:tcPr/>
          <w:p>
            <w:pPr>
              <w:pStyle w:val="Compact"/>
              <w:jc w:val="left"/>
            </w:pPr>
            <w:r>
              <w:t xml:space="preserve">2.00</w:t>
            </w:r>
          </w:p>
        </w:tc>
        <w:tc>
          <w:tcPr/>
          <w:p>
            <w:pPr>
              <w:pStyle w:val="Compact"/>
              <w:jc w:val="left"/>
            </w:pPr>
            <w:r>
              <w:t xml:space="preserve">Scope 2 (Electricity), Scope 1 (On-site fuel, if any)</w:t>
            </w:r>
          </w:p>
        </w:tc>
        <w:tc>
          <w:tcPr/>
          <w:p>
            <w:pPr>
              <w:pStyle w:val="Compact"/>
              <w:jc w:val="left"/>
            </w:pPr>
            <w:r>
              <w:t xml:space="preserve">Illustrative: eifmosmvos (e.g., 4 kWh/unit) * assumed grid factor (0.5 kg CO2e/kWh) = 2.0 kg CO2e/unit. Adjusted by qipxqrxqyq (e.g., 20% renewable, then 4 * 0.5 * 0.8 = 1.6 kg CO2e/unit). Since qipxqrxqyq is a placeholder, using unadjusted example.</w:t>
            </w:r>
          </w:p>
        </w:tc>
      </w:tr>
      <w:tr>
        <w:tc>
          <w:tcPr/>
          <w:p>
            <w:pPr>
              <w:pStyle w:val="Compact"/>
              <w:jc w:val="left"/>
            </w:pPr>
            <w:r>
              <w:rPr>
                <w:bCs/>
                <w:b/>
              </w:rPr>
              <w:t xml:space="preserve">Transportation (Factory to Customer - Europe Focused)</w:t>
            </w:r>
          </w:p>
        </w:tc>
        <w:tc>
          <w:tcPr/>
          <w:p>
            <w:pPr>
              <w:pStyle w:val="Compact"/>
              <w:jc w:val="left"/>
            </w:pPr>
            <w:r>
              <w:t xml:space="preserve">1.50</w:t>
            </w:r>
          </w:p>
        </w:tc>
        <w:tc>
          <w:tcPr/>
          <w:p>
            <w:pPr>
              <w:pStyle w:val="Compact"/>
              <w:jc w:val="left"/>
            </w:pPr>
            <w:r>
              <w:t xml:space="preserve">Scope 3 (Category 4 &amp; 9)</w:t>
            </w:r>
          </w:p>
        </w:tc>
        <w:tc>
          <w:tcPr/>
          <w:p>
            <w:pPr>
              <w:pStyle w:val="Compact"/>
              <w:jc w:val="left"/>
            </w:pPr>
            <w:r>
              <w:t xml:space="preserve">Illustrative: xwlvydljok (e.g., 1000 km) * assumed transport factor for \'Select Mode\' (e.g., 0.0015 kg CO2e/km/unit) = 1.5 kg CO2e/unit. Last-mile \'Delivery Type\' included.</w:t>
            </w:r>
          </w:p>
        </w:tc>
      </w:tr>
      <w:tr>
        <w:tc>
          <w:tcPr/>
          <w:p>
            <w:pPr>
              <w:pStyle w:val="Compact"/>
              <w:jc w:val="left"/>
            </w:pPr>
            <w:r>
              <w:rPr>
                <w:bCs/>
                <w:b/>
              </w:rPr>
              <w:t xml:space="preserve">Product Use Phase</w:t>
            </w:r>
          </w:p>
        </w:tc>
        <w:tc>
          <w:tcPr/>
          <w:p>
            <w:pPr>
              <w:pStyle w:val="Compact"/>
              <w:jc w:val="left"/>
            </w:pPr>
            <w:r>
              <w:t xml:space="preserve">5.00</w:t>
            </w:r>
          </w:p>
        </w:tc>
        <w:tc>
          <w:tcPr/>
          <w:p>
            <w:pPr>
              <w:pStyle w:val="Compact"/>
              <w:jc w:val="left"/>
            </w:pPr>
            <w:r>
              <w:t xml:space="preserve">Scope 3 (Category 11)</w:t>
            </w:r>
          </w:p>
        </w:tc>
        <w:tc>
          <w:tcPr/>
          <w:p>
            <w:pPr>
              <w:pStyle w:val="Compact"/>
              <w:jc w:val="left"/>
            </w:pPr>
            <w:r>
              <w:t xml:space="preserve">Illustrative: nzptsepzlz (e.g., 10 kWh/year) * difwrvyrne (e.g., 1 year lifespan) * assumed grid factor (0.5 kg CO2e/kWh) = 5.0 kg CO2e/unit.</w:t>
            </w:r>
          </w:p>
        </w:tc>
      </w:tr>
      <w:tr>
        <w:tc>
          <w:tcPr/>
          <w:p>
            <w:pPr>
              <w:pStyle w:val="Compact"/>
              <w:jc w:val="left"/>
            </w:pPr>
            <w:r>
              <w:rPr>
                <w:bCs/>
                <w:b/>
              </w:rPr>
              <w:t xml:space="preserve">End-of-Life Treatment</w:t>
            </w:r>
          </w:p>
        </w:tc>
        <w:tc>
          <w:tcPr/>
          <w:p>
            <w:pPr>
              <w:pStyle w:val="Compact"/>
              <w:jc w:val="left"/>
            </w:pPr>
            <w:r>
              <w:t xml:space="preserve">-0.50</w:t>
            </w:r>
          </w:p>
        </w:tc>
        <w:tc>
          <w:tcPr/>
          <w:p>
            <w:pPr>
              <w:pStyle w:val="Compact"/>
              <w:jc w:val="left"/>
            </w:pPr>
            <w:r>
              <w:t xml:space="preserve">Scope 3 (Category 12)</w:t>
            </w:r>
          </w:p>
        </w:tc>
        <w:tc>
          <w:tcPr/>
          <w:p>
            <w:pPr>
              <w:pStyle w:val="Compact"/>
              <w:jc w:val="left"/>
            </w:pPr>
            <w:r>
              <w:t xml:space="preserve">Illustrative: Considering nlhhzfdidx (e.g., 50% recyclability) and puiwydnsvx (e.g., take-back program) benefits. Negative value indicates a net carbon saving from recycling.</w:t>
            </w:r>
          </w:p>
        </w:tc>
      </w:tr>
      <w:tr>
        <w:tc>
          <w:tcPr/>
          <w:p>
            <w:pPr>
              <w:pStyle w:val="Compact"/>
              <w:jc w:val="left"/>
            </w:pPr>
            <w:r>
              <w:rPr>
                <w:bCs/>
                <w:b/>
              </w:rPr>
              <w:t xml:space="preserve">Total Product Carbon Footprint (PCF)</w:t>
            </w:r>
          </w:p>
        </w:tc>
        <w:tc>
          <w:tcPr/>
          <w:p>
            <w:pPr>
              <w:pStyle w:val="Compact"/>
              <w:jc w:val="left"/>
            </w:pPr>
            <w:r>
              <w:rPr>
                <w:bCs/>
                <w:b/>
              </w:rPr>
              <w:t xml:space="preserve">14.84</w:t>
            </w:r>
          </w:p>
        </w:tc>
        <w:tc>
          <w:tcPr/>
          <w:p>
            <w:pPr>
              <w:pStyle w:val="Compact"/>
            </w:pPr>
          </w:p>
        </w:tc>
        <w:tc>
          <w:tcPr/>
          <w:p>
            <w:pPr>
              <w:pStyle w:val="Compact"/>
            </w:pPr>
          </w:p>
        </w:tc>
      </w:tr>
    </w:tbl>
    <w:p>
      <w:pPr>
        <w:pStyle w:val="BodyText"/>
      </w:pPr>
      <w:r>
        <w:t xml:space="preserve">The Land Sector and Removals (LSR) Standard for 2026 would integrate additional considerations for land use and removals within relevant Scope 3 categories, particularly those related to biomass-derived materials or land-intensive processes. For this report, specific LSR impacts are qualitatively acknowledged and would be numerically integrated upon receipt of specific land-use data.</w:t>
      </w:r>
    </w:p>
    <w:p>
      <w:r>
        <w:pict>
          <v:rect style="width:0;height:1.5pt" o:hralign="center" o:hrstd="t" o:hr="t"/>
        </w:pict>
      </w:r>
    </w:p>
    <w:bookmarkEnd w:id="30"/>
    <w:bookmarkEnd w:id="31"/>
    <w:bookmarkStart w:id="34" w:name="review-report---hotspots-and-reliability"/>
    <w:p>
      <w:pPr>
        <w:pStyle w:val="Heading2"/>
      </w:pPr>
      <w:r>
        <w:t xml:space="preserve">5. Review &amp; Report - Hotspots and Reliability</w:t>
      </w:r>
    </w:p>
    <w:bookmarkStart w:id="32" w:name="identified-hotspots"/>
    <w:p>
      <w:pPr>
        <w:pStyle w:val="Heading3"/>
      </w:pPr>
      <w:r>
        <w:t xml:space="preserve">Identified Hotspots</w:t>
      </w:r>
    </w:p>
    <w:p>
      <w:pPr>
        <w:pStyle w:val="FirstParagraph"/>
      </w:pPr>
      <w:r>
        <w:t xml:space="preserve">Based on the illustrative calculations, the primary hotspots for the notxznvjhk product\'s carbon footprint appear to be:</w:t>
      </w:r>
    </w:p>
    <w:p>
      <w:pPr>
        <w:numPr>
          <w:ilvl w:val="0"/>
          <w:numId w:val="1007"/>
        </w:numPr>
        <w:pStyle w:val="Compact"/>
      </w:pPr>
      <w:r>
        <w:rPr>
          <w:bCs/>
          <w:b/>
        </w:rPr>
        <w:t xml:space="preserve">Material Acquisition &amp; Production:</w:t>
      </w:r>
      <w:r>
        <w:t xml:space="preserve"> </w:t>
      </w:r>
      <w:r>
        <w:t xml:space="preserve">This stage, representing upstream Scope 3 emissions, is a significant contributor, primarily driven by the raw material inputs outlined in the (illustrative) "tdtregmh" BOM. High-impact materials like aluminum and silicon are notable.</w:t>
      </w:r>
    </w:p>
    <w:p>
      <w:pPr>
        <w:numPr>
          <w:ilvl w:val="0"/>
          <w:numId w:val="1007"/>
        </w:numPr>
        <w:pStyle w:val="Compact"/>
      </w:pPr>
      <w:r>
        <w:rPr>
          <w:bCs/>
          <w:b/>
        </w:rPr>
        <w:t xml:space="preserve">Product Use Phase:</w:t>
      </w:r>
      <w:r>
        <w:t xml:space="preserve"> </w:t>
      </w:r>
      <w:r>
        <w:t xml:space="preserve">Energy consumption during the product\'s lifespan contributes substantially to the overall footprint, highlighting the importance of energy-efficient design.</w:t>
      </w:r>
    </w:p>
    <w:p>
      <w:pPr>
        <w:numPr>
          <w:ilvl w:val="0"/>
          <w:numId w:val="1007"/>
        </w:numPr>
        <w:pStyle w:val="Compact"/>
      </w:pPr>
      <w:r>
        <w:rPr>
          <w:bCs/>
          <w:b/>
        </w:rPr>
        <w:t xml:space="preserve">Manufacturing &amp; Assembly:</w:t>
      </w:r>
      <w:r>
        <w:t xml:space="preserve"> </w:t>
      </w:r>
      <w:r>
        <w:t xml:space="preserve">The electricity consumption during production in China represents a notable portion of Scope 2 emissions, emphasizing the need for renewable energy integration.</w:t>
      </w:r>
    </w:p>
    <w:bookmarkEnd w:id="32"/>
    <w:bookmarkStart w:id="33" w:name="data-reliability-and-limitations"/>
    <w:p>
      <w:pPr>
        <w:pStyle w:val="Heading3"/>
      </w:pPr>
      <w:r>
        <w:t xml:space="preserve">Data Reliability and Limitations</w:t>
      </w:r>
    </w:p>
    <w:p>
      <w:pPr>
        <w:pStyle w:val="FirstParagraph"/>
      </w:pPr>
      <w:r>
        <w:t xml:space="preserve">The reliability of this PCF assessment is strong in its adherence to the GHG Protocol and comprehensive lifecycle approach. However, the precision of the numerical results for certain lifecycle stages is currently limited by the placeholder nature of several key input parameters.</w:t>
      </w:r>
    </w:p>
    <w:p>
      <w:pPr>
        <w:numPr>
          <w:ilvl w:val="0"/>
          <w:numId w:val="1008"/>
        </w:numPr>
        <w:pStyle w:val="Compact"/>
      </w:pPr>
      <w:r>
        <w:rPr>
          <w:bCs/>
          <w:b/>
        </w:rPr>
        <w:t xml:space="preserve">BOM Data (tdtregmh):</w:t>
      </w:r>
      <w:r>
        <w:t xml:space="preserve"> </w:t>
      </w:r>
      <w:r>
        <w:t xml:space="preserve">The illustrative BOM allowed for a structured material impact analysis. For definitive calculations, the precise numerical values within the "tdtregmh" BOM are required.</w:t>
      </w:r>
    </w:p>
    <w:p>
      <w:pPr>
        <w:numPr>
          <w:ilvl w:val="0"/>
          <w:numId w:val="1008"/>
        </w:numPr>
        <w:pStyle w:val="Compact"/>
      </w:pPr>
      <w:r>
        <w:rPr>
          <w:bCs/>
          <w:b/>
        </w:rPr>
        <w:t xml:space="preserve">Logistics Data:</w:t>
      </w:r>
      <w:r>
        <w:t xml:space="preserve"> </w:t>
      </w:r>
      <w:r>
        <w:t xml:space="preserve">The lack of specific modes, distances, and delivery channels for \'Select Mode\', \'xwlvydljok\', and \'Delivery Type\' necessitates the use of general assumptions for transport emissions.</w:t>
      </w:r>
    </w:p>
    <w:p>
      <w:pPr>
        <w:numPr>
          <w:ilvl w:val="0"/>
          <w:numId w:val="1008"/>
        </w:numPr>
        <w:pStyle w:val="Compact"/>
      </w:pPr>
      <w:r>
        <w:rPr>
          <w:bCs/>
          <w:b/>
        </w:rPr>
        <w:t xml:space="preserve">Energy Data:</w:t>
      </w:r>
      <w:r>
        <w:t xml:space="preserve"> </w:t>
      </w:r>
      <w:r>
        <w:t xml:space="preserve">The exact renewable energy percentage \'qipxqrxqyq\' and energy intensity \'eifmosmvos\' for the production phase, as well as use-phase energy consumption \'nzptsepzlz\' and lifespan \'difwrvyrne\', are critical for accurate Scope 2 and Scope 3 calculations.</w:t>
      </w:r>
    </w:p>
    <w:p>
      <w:pPr>
        <w:numPr>
          <w:ilvl w:val="0"/>
          <w:numId w:val="1008"/>
        </w:numPr>
        <w:pStyle w:val="Compact"/>
      </w:pPr>
      <w:r>
        <w:rPr>
          <w:bCs/>
          <w:b/>
        </w:rPr>
        <w:t xml:space="preserve">End-of-Life Scenarios:</w:t>
      </w:r>
      <w:r>
        <w:t xml:space="preserve"> </w:t>
      </w:r>
      <w:r>
        <w:t xml:space="preserve">Quantification of circular economy impacts from \'nlhhzfdidx\' and \'puiwydnsvx\' requires detailed operational data.</w:t>
      </w:r>
    </w:p>
    <w:p>
      <w:pPr>
        <w:pStyle w:val="FirstParagraph"/>
      </w:pPr>
      <w:r>
        <w:t xml:space="preserve">To enhance the accuracy and reliability of this PCF report, it is highly recommended to collect and integrate actual, quantitative data for all placeholder parameters. This would enable precise calculations and a more robust identification of emission reduction opportunities.</w:t>
      </w:r>
    </w:p>
    <w:p>
      <w:r>
        <w:pict>
          <v:rect style="width:0;height:1.5pt" o:hralign="center" o:hrstd="t" o:hr="t"/>
        </w:pict>
      </w:r>
    </w:p>
    <w:p>
      <w:pPr>
        <w:pStyle w:val="FirstParagraph"/>
      </w:pPr>
      <w:r>
        <w:t xml:space="preserve">Confidential - Internal Use Only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notxznvjhk - xxxwfjsmxv</dc:title>
  <dc:creator/>
  <dc:description>High-detail Product Carbon Footprint (PCF) analysis report for product notxznvjhk, performed by xwusggnlgl for xxxwfjsmxv, following GHG Protocol and 2026 LSR updates.</dc:description>
  <dc:language>en</dc:language>
  <cp:keywords/>
  <dcterms:created xsi:type="dcterms:W3CDTF">2026-07-15T07:15:04Z</dcterms:created>
  <dcterms:modified xsi:type="dcterms:W3CDTF">2026-07-15T07:15:04Z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