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nohgrrfqwm</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t xml:space="preserve">Product: nohgrrfqwm</w:t>
      </w:r>
    </w:p>
    <w:p>
      <w:pPr>
        <w:pStyle w:val="BodyText"/>
      </w:pPr>
      <w:r>
        <w:t xml:space="preserve">Protocol Data (Accounting Standard): GHG Protocol</w:t>
      </w:r>
    </w:p>
    <w:p>
      <w:pPr>
        <w:pStyle w:val="BodyText"/>
      </w:pPr>
      <w:r>
        <w:t xml:space="preserve">Name of the Company: zpfgsvguse</w:t>
      </w:r>
    </w:p>
    <w:p>
      <w:pPr>
        <w:pStyle w:val="BodyText"/>
      </w:pPr>
      <w:r>
        <w:t xml:space="preserve">Senior Sustainability Consultant: whzzgjpgos</w:t>
      </w:r>
    </w:p>
    <w:p>
      <w:pPr>
        <w:pStyle w:val="BodyText"/>
      </w:pPr>
      <w:r>
        <w:t xml:space="preserve">Disclaimer: This report is generated based on available data and industry standards.</w:t>
      </w:r>
      <w:r>
        <w:t xml:space="preserve"> </w:t>
      </w:r>
      <w:r>
        <w:t xml:space="preserve">Assumptions have been made where specific data was not provided by the user,</w:t>
      </w:r>
      <w:r>
        <w:t xml:space="preserve"> </w:t>
      </w:r>
      <w:r>
        <w:t xml:space="preserve">and these are explicitly noted within the report.</w:t>
      </w:r>
    </w:p>
    <w:bookmarkEnd w:id="20"/>
    <w:bookmarkStart w:id="21" w:name="X3052be9cddde89fde30beeff6e1f8c958d8980f"/>
    <w:p>
      <w:pPr>
        <w:pStyle w:val="Heading1"/>
      </w:pPr>
      <w:r>
        <w:t xml:space="preserve">Product Carbon Footprint Report for nohgrrfqwm</w:t>
      </w:r>
    </w:p>
    <w:p>
      <w:pPr>
        <w:pStyle w:val="FirstParagraph"/>
      </w:pPr>
      <w:r>
        <w:t xml:space="preserve">Generated Date: 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\'nohgrrfqwm\',</w:t>
      </w:r>
      <w:r>
        <w:t xml:space="preserve"> </w:t>
      </w:r>
      <w:r>
        <w:t xml:space="preserve">manufactured by \'zpfgsvguse\'. The analysis was conducted by \'whzzgjpgos\', a Senior Sustainability Consultant</w:t>
      </w:r>
      <w:r>
        <w:t xml:space="preserve"> </w:t>
      </w:r>
      <w:r>
        <w:t xml:space="preserve">specializing in the GHG Protocol. The methodology adheres strictly to the GHG Protocol,</w:t>
      </w:r>
      <w:r>
        <w:t xml:space="preserve"> </w:t>
      </w:r>
      <w:r>
        <w:t xml:space="preserve">categorizing emissions into Scope 1, Scope 2, and Scope 3, and incorporating the 2026 Land Sector and Removals (LSR) Standard.</w:t>
      </w:r>
      <w:r>
        <w:t xml:space="preserve"> </w:t>
      </w:r>
      <w:r>
        <w:t xml:space="preserve">The aim is to identify major emission hotspots across the product\'s lifecycle from a cradle-to-grave perspective,</w:t>
      </w:r>
      <w:r>
        <w:t xml:space="preserve"> </w:t>
      </w:r>
      <w:r>
        <w:t xml:space="preserve">providing a robust foundation for emission reduction strategies.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 \'nohgrrfqwm\'.</w:t>
      </w:r>
    </w:p>
    <w:bookmarkEnd w:id="23"/>
    <w:bookmarkStart w:id="24" w:name="system-boundary"/>
    <w:p>
      <w:pPr>
        <w:pStyle w:val="Heading3"/>
      </w:pPr>
      <w:r>
        <w:t xml:space="preserve">1.2 System Boundary</w:t>
      </w:r>
    </w:p>
    <w:p>
      <w:pPr>
        <w:numPr>
          <w:ilvl w:val="0"/>
          <w:numId w:val="1002"/>
        </w:numPr>
        <w:pStyle w:val="Compact"/>
      </w:pPr>
      <w:r>
        <w:t xml:space="preserve">The initial system boundary for data collection and primary analysis is set at</w:t>
      </w:r>
      <w:r>
        <w:t xml:space="preserve"> </w:t>
      </w:r>
      <w:r>
        <w:rPr>
          <w:bCs/>
          <w:b/>
        </w:rPr>
        <w:t xml:space="preserve">factory_gate</w:t>
      </w:r>
      <w:r>
        <w:t xml:space="preserve">.</w:t>
      </w:r>
    </w:p>
    <w:p>
      <w:pPr>
        <w:numPr>
          <w:ilvl w:val="0"/>
          <w:numId w:val="1002"/>
        </w:numPr>
        <w:pStyle w:val="Compact"/>
      </w:pPr>
      <w:r>
        <w:t xml:space="preserve">However, to provide a comprehensive cradle-to-grave assessment as required, the analysis has been expanded to include outbound logistics, the product\'s use phase, and its end-of-life (EoL) scenarios. This expanded boundary ensures a holistic view of the product\'s environmental impact throughout its entire lifecycle.</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(for upstream material sourcing and inbound logistics)</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w:t>
      </w:r>
    </w:p>
    <w:p>
      <w:pPr>
        <w:numPr>
          <w:ilvl w:val="0"/>
          <w:numId w:val="1004"/>
        </w:numPr>
        <w:pStyle w:val="Compact"/>
      </w:pPr>
      <w:r>
        <w:t xml:space="preserve">The 2026 Land Sector and Removals (LSR) Standard is acknowledged. Given the current data for \'nohgrrfqwm\' does not specify bio-based materials or direct land-use change, significant quantifiable impacts under the LSR Standard are not identified in this report.</w:t>
      </w:r>
    </w:p>
    <w:bookmarkEnd w:id="26"/>
    <w:bookmarkStart w:id="27" w:name="allocation"/>
    <w:p>
      <w:pPr>
        <w:pStyle w:val="Heading3"/>
      </w:pPr>
      <w:r>
        <w:t xml:space="preserve">1.5 Allocation</w:t>
      </w:r>
    </w:p>
    <w:p>
      <w:pPr>
        <w:numPr>
          <w:ilvl w:val="0"/>
          <w:numId w:val="1005"/>
        </w:numPr>
        <w:pStyle w:val="Compact"/>
      </w:pPr>
      <w:r>
        <w:t xml:space="preserve">Where co-production or multi-functional processes occur, emissions have been allocated based on mass, assuming it is the most representative allocation factor in the absence of more specific economic or physical relationships.</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primary and secondary data points collected or assumed for the PCF calculation.</w:t>
      </w:r>
      <w:r>
        <w:t xml:space="preserve"> </w:t>
      </w:r>
      <w:r>
        <w:t xml:space="preserve">Due to the provided \'Detailed Bill of Materials (BOM): syrtjjwo\' being a placeholder, the following material data is illustrative,</w:t>
      </w:r>
      <w:r>
        <w:t xml:space="preserve"> </w:t>
      </w:r>
      <w:r>
        <w:t xml:space="preserve">adhering to the specified format for demonstration purposes. Actual calculations would require specific BOM data.</w:t>
      </w:r>
    </w:p>
    <w:bookmarkStart w:id="29" w:name="material-inputs-scope-3-upstream"/>
    <w:p>
      <w:pPr>
        <w:pStyle w:val="Heading3"/>
      </w:pPr>
      <w:r>
        <w:t xml:space="preserve">2.1 Material Inputs (Scope 3 Upstream)</w:t>
      </w:r>
    </w:p>
    <w:p>
      <w:pPr>
        <w:pStyle w:val="FirstParagraph"/>
      </w:pPr>
      <w:r>
        <w:t xml:space="preserve">The Bill of Materials (BOM) is a critical input for calculating upstream emissions. The following table provides</w:t>
      </w:r>
      <w:r>
        <w:t xml:space="preserve"> </w:t>
      </w:r>
      <w:r>
        <w:t xml:space="preserve">illustrative BOM data as per the specified format (ID, Description, Category, Process, Qty, Unit, Emission Factor (kgCO2e/Unit), Total Carbon (kgCO2e)).</w:t>
      </w:r>
      <w:r>
        <w:t xml:space="preserve"> </w:t>
      </w:r>
      <w:r>
        <w:t xml:space="preserve">The \'Total Carbon\' for each material directly represents its embedded emissions up to the point of delivery to the factory gate.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w:t>
            </w:r>
          </w:p>
        </w:tc>
      </w:tr>
    </w:tbl>
    <w:bookmarkEnd w:id="29"/>
    <w:bookmarkStart w:id="30" w:name="production-energy-inputs-scope-1-2"/>
    <w:p>
      <w:pPr>
        <w:pStyle w:val="Heading3"/>
      </w:pPr>
      <w:r>
        <w:t xml:space="preserve">2.2 Production Energy Inputs (Scope 1 &amp; 2)</w:t>
      </w:r>
    </w:p>
    <w:p>
      <w:pPr>
        <w:numPr>
          <w:ilvl w:val="0"/>
          <w:numId w:val="1006"/>
        </w:numPr>
        <w:pStyle w:val="Compact"/>
      </w:pPr>
      <w:r>
        <w:t xml:space="preserve">Energy Intensity (kWh/unit):</w:t>
      </w:r>
      <w:r>
        <w:t xml:space="preserve"> </w:t>
      </w:r>
      <w:r>
        <w:rPr>
          <w:bCs/>
          <w:b/>
        </w:rPr>
        <w:t xml:space="preserve">dppdfyoyno</w:t>
      </w:r>
      <w:r>
        <w:t xml:space="preserve"> </w:t>
      </w:r>
      <w:r>
        <w:t xml:space="preserve">(assumed 10 kWh/unit for calculation)</w:t>
      </w:r>
    </w:p>
    <w:p>
      <w:pPr>
        <w:numPr>
          <w:ilvl w:val="0"/>
          <w:numId w:val="1006"/>
        </w:numPr>
        <w:pStyle w:val="Compact"/>
      </w:pPr>
      <w:r>
        <w:t xml:space="preserve">Renewable Energy Usage:</w:t>
      </w:r>
      <w:r>
        <w:t xml:space="preserve"> </w:t>
      </w:r>
      <w:r>
        <w:rPr>
          <w:bCs/>
          <w:b/>
        </w:rPr>
        <w:t xml:space="preserve">kizprrelug</w:t>
      </w:r>
      <w:r>
        <w:t xml:space="preserve"> </w:t>
      </w:r>
      <w:r>
        <w:t xml:space="preserve">(assumed 70% renewable for calculation)</w:t>
      </w:r>
    </w:p>
    <w:p>
      <w:pPr>
        <w:numPr>
          <w:ilvl w:val="0"/>
          <w:numId w:val="1006"/>
        </w:numPr>
        <w:pStyle w:val="Compact"/>
      </w:pPr>
      <w:r>
        <w:t xml:space="preserve">Non-renewable grid electricity (China average): Assumed emission factor of 0.6 kgCO2e/kWh.</w:t>
      </w:r>
    </w:p>
    <w:p>
      <w:pPr>
        <w:numPr>
          <w:ilvl w:val="0"/>
          <w:numId w:val="1006"/>
        </w:numPr>
        <w:pStyle w:val="Compact"/>
      </w:pPr>
      <w:r>
        <w:t xml:space="preserve">Renewable electricity (upstream emissions): Assumed emission factor of 0.05 kgCO2e/kWh.</w:t>
      </w:r>
    </w:p>
    <w:p>
      <w:pPr>
        <w:numPr>
          <w:ilvl w:val="0"/>
          <w:numId w:val="1006"/>
        </w:numPr>
        <w:pStyle w:val="Compact"/>
      </w:pPr>
      <w:r>
        <w:t xml:space="preserve">Scope 1 emissions (direct combustion on-site): Assumed to be negligible for this product\'s production without specific data.</w:t>
      </w:r>
    </w:p>
    <w:bookmarkEnd w:id="30"/>
    <w:bookmarkStart w:id="31" w:name="X81b380c8dee580b1a3a58a8933f09759377931e"/>
    <w:p>
      <w:pPr>
        <w:pStyle w:val="Heading3"/>
      </w:pPr>
      <w:r>
        <w:t xml:space="preserve">2.3 Logistics Data (Scope 3 Upstream &amp; Downstream)</w:t>
      </w:r>
    </w:p>
    <w:p>
      <w:pPr>
        <w:numPr>
          <w:ilvl w:val="0"/>
          <w:numId w:val="1007"/>
        </w:numPr>
        <w:pStyle w:val="Compact"/>
      </w:pPr>
      <w:r>
        <w:t xml:space="preserve">Transport Mode (Inbound/Outbound):</w:t>
      </w:r>
      <w:r>
        <w:t xml:space="preserve"> </w:t>
      </w:r>
      <w:r>
        <w:rPr>
          <w:bCs/>
          <w:b/>
        </w:rPr>
        <w:t xml:space="preserve">Select Mode</w:t>
      </w:r>
      <w:r>
        <w:t xml:space="preserve"> </w:t>
      </w:r>
      <w:r>
        <w:t xml:space="preserve">(assumed Road Freight - HGV for calculation)</w:t>
      </w:r>
    </w:p>
    <w:p>
      <w:pPr>
        <w:numPr>
          <w:ilvl w:val="0"/>
          <w:numId w:val="1007"/>
        </w:numPr>
        <w:pStyle w:val="Compact"/>
      </w:pPr>
      <w:r>
        <w:t xml:space="preserve">Transport Distance (Inbound/Outbound):</w:t>
      </w:r>
      <w:r>
        <w:t xml:space="preserve"> </w:t>
      </w:r>
      <w:r>
        <w:rPr>
          <w:bCs/>
          <w:b/>
        </w:rPr>
        <w:t xml:space="preserve">xpxmmjfdvs</w:t>
      </w:r>
      <w:r>
        <w:t xml:space="preserve"> </w:t>
      </w:r>
      <w:r>
        <w:t xml:space="preserve">(assumed 500 km for both inbound and outbound logistics for calculation)</w:t>
      </w:r>
    </w:p>
    <w:p>
      <w:pPr>
        <w:numPr>
          <w:ilvl w:val="0"/>
          <w:numId w:val="1007"/>
        </w:numPr>
        <w:pStyle w:val="Compact"/>
      </w:pPr>
      <w:r>
        <w:t xml:space="preserve">Last-Mile Delivery Channel:</w:t>
      </w:r>
      <w:r>
        <w:t xml:space="preserve"> </w:t>
      </w:r>
      <w:r>
        <w:rPr>
          <w:bCs/>
          <w:b/>
        </w:rPr>
        <w:t xml:space="preserve">Delivery Type</w:t>
      </w:r>
      <w:r>
        <w:t xml:space="preserve"> </w:t>
      </w:r>
      <w:r>
        <w:t xml:space="preserve">(assumed Parcel Van for calculation)</w:t>
      </w:r>
    </w:p>
    <w:p>
      <w:pPr>
        <w:numPr>
          <w:ilvl w:val="0"/>
          <w:numId w:val="1007"/>
        </w:numPr>
        <w:pStyle w:val="Compact"/>
      </w:pPr>
      <w:r>
        <w:t xml:space="preserve">Last-Mile Delivery Distance: Assumed 50 km per unit for calculation.</w:t>
      </w:r>
    </w:p>
    <w:p>
      <w:pPr>
        <w:numPr>
          <w:ilvl w:val="0"/>
          <w:numId w:val="1007"/>
        </w:numPr>
        <w:pStyle w:val="Compact"/>
      </w:pPr>
      <w:r>
        <w:t xml:space="preserve">Assumed Emission Factor for Road Freight (HGV, &gt;20t, average load): 0.09 kgCO2e/tkm.</w:t>
      </w:r>
    </w:p>
    <w:p>
      <w:pPr>
        <w:numPr>
          <w:ilvl w:val="0"/>
          <w:numId w:val="1007"/>
        </w:numPr>
        <w:pStyle w:val="Compact"/>
      </w:pPr>
      <w:r>
        <w:t xml:space="preserve">Assumed Emission Factor for Parcel Van: 0.4 kgCO2e/km.</w:t>
      </w:r>
    </w:p>
    <w:p>
      <w:pPr>
        <w:numPr>
          <w:ilvl w:val="0"/>
          <w:numId w:val="1007"/>
        </w:numPr>
        <w:pStyle w:val="Compact"/>
      </w:pPr>
      <w:r>
        <w:t xml:space="preserve">Product Weight for transport calculation: Sum of BOM material quantities = 0.5 + 0.1 + 0.05 + 0.02 = 0.67 kg.</w:t>
      </w:r>
    </w:p>
    <w:bookmarkEnd w:id="31"/>
    <w:bookmarkStart w:id="32" w:name="use-phase-data-scope-3-downstream"/>
    <w:p>
      <w:pPr>
        <w:pStyle w:val="Heading3"/>
      </w:pPr>
      <w:r>
        <w:t xml:space="preserve">2.4 Use Phase Data (Scope 3 Downstream)</w:t>
      </w:r>
    </w:p>
    <w:p>
      <w:pPr>
        <w:numPr>
          <w:ilvl w:val="0"/>
          <w:numId w:val="1008"/>
        </w:numPr>
        <w:pStyle w:val="Compact"/>
      </w:pPr>
      <w:r>
        <w:t xml:space="preserve">Product Lifespan:</w:t>
      </w:r>
      <w:r>
        <w:t xml:space="preserve"> </w:t>
      </w:r>
      <w:r>
        <w:rPr>
          <w:bCs/>
          <w:b/>
        </w:rPr>
        <w:t xml:space="preserve">rjwihopytz</w:t>
      </w:r>
      <w:r>
        <w:t xml:space="preserve"> </w:t>
      </w:r>
      <w:r>
        <w:t xml:space="preserve">(assumed 5 years for calculation)</w:t>
      </w:r>
    </w:p>
    <w:p>
      <w:pPr>
        <w:numPr>
          <w:ilvl w:val="0"/>
          <w:numId w:val="1008"/>
        </w:numPr>
        <w:pStyle w:val="Compact"/>
      </w:pPr>
      <w:r>
        <w:t xml:space="preserve">Energy Consumption in Use:</w:t>
      </w:r>
      <w:r>
        <w:t xml:space="preserve"> </w:t>
      </w:r>
      <w:r>
        <w:rPr>
          <w:bCs/>
          <w:b/>
        </w:rPr>
        <w:t xml:space="preserve">pxyzwywukv</w:t>
      </w:r>
      <w:r>
        <w:t xml:space="preserve"> </w:t>
      </w:r>
      <w:r>
        <w:t xml:space="preserve">(assumed 5 kWh/year for calculation)</w:t>
      </w:r>
    </w:p>
    <w:p>
      <w:pPr>
        <w:numPr>
          <w:ilvl w:val="0"/>
          <w:numId w:val="1008"/>
        </w:numPr>
        <w:pStyle w:val="Compact"/>
      </w:pPr>
      <w:r>
        <w:t xml:space="preserve">Assumed Electricity Grid Mix for Use Phase (Global Average): 0.4 kgCO2e/kWh (as product use can be global).</w:t>
      </w:r>
    </w:p>
    <w:bookmarkEnd w:id="32"/>
    <w:bookmarkStart w:id="33" w:name="X0b1a7869ec5c89eda6252c7ad7e638ee66010db"/>
    <w:p>
      <w:pPr>
        <w:pStyle w:val="Heading3"/>
      </w:pPr>
      <w:r>
        <w:t xml:space="preserve">2.5 End-of-Life (EoL) Scenarios (Scope 3 Downstream)</w:t>
      </w:r>
    </w:p>
    <w:p>
      <w:pPr>
        <w:numPr>
          <w:ilvl w:val="0"/>
          <w:numId w:val="1009"/>
        </w:numPr>
        <w:pStyle w:val="Compact"/>
      </w:pPr>
      <w:r>
        <w:t xml:space="preserve">Recyclability Percentage:</w:t>
      </w:r>
      <w:r>
        <w:t xml:space="preserve"> </w:t>
      </w:r>
      <w:r>
        <w:rPr>
          <w:bCs/>
          <w:b/>
        </w:rPr>
        <w:t xml:space="preserve">flswvtrlnn</w:t>
      </w:r>
      <w:r>
        <w:t xml:space="preserve"> </w:t>
      </w:r>
      <w:r>
        <w:t xml:space="preserve">(assumed 60% for calculation)</w:t>
      </w:r>
    </w:p>
    <w:p>
      <w:pPr>
        <w:numPr>
          <w:ilvl w:val="0"/>
          <w:numId w:val="1009"/>
        </w:numPr>
        <w:pStyle w:val="Compact"/>
      </w:pPr>
      <w:r>
        <w:t xml:space="preserve">Circular/Take-back Programs:</w:t>
      </w:r>
      <w:r>
        <w:t xml:space="preserve"> </w:t>
      </w:r>
      <w:r>
        <w:rPr>
          <w:bCs/>
          <w:b/>
        </w:rPr>
        <w:t xml:space="preserve">vynojfotff</w:t>
      </w:r>
      <w:r>
        <w:t xml:space="preserve"> </w:t>
      </w:r>
      <w:r>
        <w:t xml:space="preserve">(assumed "Yes, product take-back and refurbishment program implemented" for calculation)</w:t>
      </w:r>
    </w:p>
    <w:p>
      <w:pPr>
        <w:numPr>
          <w:ilvl w:val="0"/>
          <w:numId w:val="1009"/>
        </w:numPr>
        <w:pStyle w:val="Compact"/>
      </w:pPr>
      <w:r>
        <w:t xml:space="preserve">Assumed Emission Factor for Waste to Landfill (mixed waste): 0.8 kgCO2e/kg.</w:t>
      </w:r>
    </w:p>
    <w:p>
      <w:pPr>
        <w:numPr>
          <w:ilvl w:val="0"/>
          <w:numId w:val="1009"/>
        </w:numPr>
        <w:pStyle w:val="Compact"/>
      </w:pPr>
      <w:r>
        <w:t xml:space="preserve">Assumed Emission Factor for Recycling Process (net processing emissions): 0.1 kgCO2e/kg.</w:t>
      </w:r>
    </w:p>
    <w:p>
      <w:pPr>
        <w:numPr>
          <w:ilvl w:val="0"/>
          <w:numId w:val="1009"/>
        </w:numPr>
        <w:pStyle w:val="Compact"/>
      </w:pPr>
      <w:r>
        <w:t xml:space="preserve">Total Product Mass for EoL: 0.67 kg.</w:t>
      </w:r>
    </w:p>
    <w:p>
      <w:r>
        <w:pict>
          <v:rect style="width:0;height:1.5pt" o:hralign="center" o:hrstd="t" o:hr="t"/>
        </w:pict>
      </w:r>
    </w:p>
    <w:bookmarkEnd w:id="33"/>
    <w:bookmarkEnd w:id="34"/>
    <w:bookmarkStart w:id="46" w:name="Xdd1c2ba429305467bad58a0828410d9d0fce25c"/>
    <w:p>
      <w:pPr>
        <w:pStyle w:val="Heading2"/>
      </w:pPr>
      <w:r>
        <w:t xml:space="preserve">4. Emissions Calculation (Activity * Emission Factor = CO2e)</w:t>
      </w:r>
    </w:p>
    <w:p>
      <w:pPr>
        <w:pStyle w:val="FirstParagraph"/>
      </w:pPr>
      <w:r>
        <w:t xml:space="preserve">The following calculations are based on the illustrative data and assumptions outlined in Section 2 &amp; 3.</w:t>
      </w:r>
      <w:r>
        <w:t xml:space="preserve"> </w:t>
      </w:r>
      <w:r>
        <w:t xml:space="preserve">All results are expressed in kgCO2e per functional unit (1.0 unit of nohgrrfqwm).</w:t>
      </w:r>
    </w:p>
    <w:bookmarkStart w:id="38" w:name="X3b3d7b10af023cd911c4d6585bdacbe630630f6"/>
    <w:p>
      <w:pPr>
        <w:pStyle w:val="Heading3"/>
      </w:pPr>
      <w:r>
        <w:t xml:space="preserve">4.1 Scope 3: Upstream Emissions (Cradle-to-Gate)</w:t>
      </w:r>
    </w:p>
    <w:bookmarkStart w:id="35" w:name="materials-acquisition-processing"/>
    <w:p>
      <w:pPr>
        <w:pStyle w:val="Heading4"/>
      </w:pPr>
      <w:r>
        <w:t xml:space="preserve">4.1.1 Materials Acquisition &amp; Processing</w:t>
      </w:r>
    </w:p>
    <w:p>
      <w:pPr>
        <w:pStyle w:val="FirstParagraph"/>
      </w:pPr>
      <w:r>
        <w:t xml:space="preserve">Total Carbon from illustrative BOM:</w:t>
      </w:r>
    </w:p>
    <w:p>
      <w:pPr>
        <w:numPr>
          <w:ilvl w:val="0"/>
          <w:numId w:val="1010"/>
        </w:numPr>
        <w:pStyle w:val="Compact"/>
      </w:pPr>
      <w:r>
        <w:t xml:space="preserve">Plastic Casing: 1.5 kgCO2e</w:t>
      </w:r>
    </w:p>
    <w:p>
      <w:pPr>
        <w:numPr>
          <w:ilvl w:val="0"/>
          <w:numId w:val="1010"/>
        </w:numPr>
        <w:pStyle w:val="Compact"/>
      </w:pPr>
      <w:r>
        <w:t xml:space="preserve">Circuit Board: 2.5 kgCO2e</w:t>
      </w:r>
    </w:p>
    <w:p>
      <w:pPr>
        <w:numPr>
          <w:ilvl w:val="0"/>
          <w:numId w:val="1010"/>
        </w:numPr>
        <w:pStyle w:val="Compact"/>
      </w:pPr>
      <w:r>
        <w:t xml:space="preserve">Lithium Battery: 1.0 kgCO2e</w:t>
      </w:r>
    </w:p>
    <w:p>
      <w:pPr>
        <w:numPr>
          <w:ilvl w:val="0"/>
          <w:numId w:val="1010"/>
        </w:numPr>
        <w:pStyle w:val="Compact"/>
      </w:pPr>
      <w:r>
        <w:t xml:space="preserve">Copper Wiring: 0.1 kgCO2e</w:t>
      </w:r>
    </w:p>
    <w:p>
      <w:pPr>
        <w:pStyle w:val="FirstParagraph"/>
      </w:pPr>
      <w:r>
        <w:rPr>
          <w:bCs/>
          <w:b/>
        </w:rPr>
        <w:t xml:space="preserve">Total Material Emissions: 5.1 kgCO2e</w:t>
      </w:r>
    </w:p>
    <w:bookmarkEnd w:id="35"/>
    <w:bookmarkStart w:id="36" w:name="X2d7d2731a5ec24109560c3a324a923b9e4b36fa"/>
    <w:p>
      <w:pPr>
        <w:pStyle w:val="Heading4"/>
      </w:pPr>
      <w:r>
        <w:t xml:space="preserve">4.1.2 Manufacturing (Scope 2 - Purchased Electricity)</w:t>
      </w:r>
    </w:p>
    <w:p>
      <w:pPr>
        <w:numPr>
          <w:ilvl w:val="0"/>
          <w:numId w:val="1011"/>
        </w:numPr>
        <w:pStyle w:val="Compact"/>
      </w:pPr>
      <w:r>
        <w:t xml:space="preserve">Energy Intensity: 10 kWh/unit</w:t>
      </w:r>
    </w:p>
    <w:p>
      <w:pPr>
        <w:numPr>
          <w:ilvl w:val="0"/>
          <w:numId w:val="1011"/>
        </w:numPr>
        <w:pStyle w:val="Compact"/>
      </w:pPr>
      <w:r>
        <w:t xml:space="preserve">Renewable Energy Usage: 70%</w:t>
      </w:r>
    </w:p>
    <w:p>
      <w:pPr>
        <w:numPr>
          <w:ilvl w:val="0"/>
          <w:numId w:val="1011"/>
        </w:numPr>
        <w:pStyle w:val="Compact"/>
      </w:pPr>
      <w:r>
        <w:t xml:space="preserve">Non-renewable energy: 10 kWh * (1 - 0.70) = 3 kWh/unit</w:t>
      </w:r>
    </w:p>
    <w:p>
      <w:pPr>
        <w:numPr>
          <w:ilvl w:val="0"/>
          <w:numId w:val="1011"/>
        </w:numPr>
        <w:pStyle w:val="Compact"/>
      </w:pPr>
      <w:r>
        <w:t xml:space="preserve">Renewable energy: 10 kWh * 0.70 = 7 kWh/unit</w:t>
      </w:r>
    </w:p>
    <w:p>
      <w:pPr>
        <w:numPr>
          <w:ilvl w:val="0"/>
          <w:numId w:val="1011"/>
        </w:numPr>
        <w:pStyle w:val="Compact"/>
      </w:pPr>
      <w:r>
        <w:t xml:space="preserve">Emissions from non-renewable electricity: 3 kWh * 0.6 kgCO2e/kWh = 1.8 kgCO2e</w:t>
      </w:r>
    </w:p>
    <w:p>
      <w:pPr>
        <w:numPr>
          <w:ilvl w:val="0"/>
          <w:numId w:val="1011"/>
        </w:numPr>
        <w:pStyle w:val="Compact"/>
      </w:pPr>
      <w:r>
        <w:t xml:space="preserve">Emissions from renewable electricity: 7 kWh * 0.05 kgCO2e/kWh = 0.35 kgCO2e</w:t>
      </w:r>
    </w:p>
    <w:p>
      <w:pPr>
        <w:pStyle w:val="FirstParagraph"/>
      </w:pPr>
      <w:r>
        <w:rPr>
          <w:bCs/>
          <w:b/>
        </w:rPr>
        <w:t xml:space="preserve">Total Manufacturing Electricity Emissions (Scope 2): 2.15 kgCO2e</w:t>
      </w:r>
    </w:p>
    <w:bookmarkEnd w:id="36"/>
    <w:bookmarkStart w:id="37" w:name="inbound-logistics"/>
    <w:p>
      <w:pPr>
        <w:pStyle w:val="Heading4"/>
      </w:pPr>
      <w:r>
        <w:t xml:space="preserve">4.1.3 Inbound Logistics</w:t>
      </w:r>
    </w:p>
    <w:p>
      <w:pPr>
        <w:numPr>
          <w:ilvl w:val="0"/>
          <w:numId w:val="1012"/>
        </w:numPr>
        <w:pStyle w:val="Compact"/>
      </w:pPr>
      <w:r>
        <w:t xml:space="preserve">Product Weight: 0.67 kg = 0.00067 tonnes</w:t>
      </w:r>
    </w:p>
    <w:p>
      <w:pPr>
        <w:numPr>
          <w:ilvl w:val="0"/>
          <w:numId w:val="1012"/>
        </w:numPr>
        <w:pStyle w:val="Compact"/>
      </w:pPr>
      <w:r>
        <w:t xml:space="preserve">Transport Distance: 500 km</w:t>
      </w:r>
    </w:p>
    <w:p>
      <w:pPr>
        <w:numPr>
          <w:ilvl w:val="0"/>
          <w:numId w:val="1012"/>
        </w:numPr>
        <w:pStyle w:val="Compact"/>
      </w:pPr>
      <w:r>
        <w:t xml:space="preserve">Transport Mode: Road Freight (HGV)</w:t>
      </w:r>
    </w:p>
    <w:p>
      <w:pPr>
        <w:numPr>
          <w:ilvl w:val="0"/>
          <w:numId w:val="1012"/>
        </w:numPr>
        <w:pStyle w:val="Compact"/>
      </w:pPr>
      <w:r>
        <w:t xml:space="preserve">Emissions: 0.00067 tonnes * 500 km * 0.09 kgCO2e/tkm = 0.03 kgCO2e</w:t>
      </w:r>
    </w:p>
    <w:p>
      <w:pPr>
        <w:pStyle w:val="FirstParagraph"/>
      </w:pPr>
      <w:r>
        <w:rPr>
          <w:bCs/>
          <w:b/>
        </w:rPr>
        <w:t xml:space="preserve">Total Inbound Logistics Emissions: 0.03 kgCO2e</w:t>
      </w:r>
    </w:p>
    <w:p>
      <w:pPr>
        <w:pStyle w:val="BodyText"/>
      </w:pPr>
      <w:r>
        <w:rPr>
          <w:bCs/>
          <w:b/>
        </w:rPr>
        <w:t xml:space="preserve">Total Upstream (Scope 3) Emissions: 5.1 (materials) + 0.03 (inbound logistics) = 5.13 kgCO2e</w:t>
      </w:r>
    </w:p>
    <w:p>
      <w:pPr>
        <w:pStyle w:val="BodyText"/>
      </w:pPr>
      <w:r>
        <w:rPr>
          <w:bCs/>
          <w:b/>
        </w:rPr>
        <w:t xml:space="preserve">Total Cradle-to-Gate Emissions (Scope 2 + Upstream Scope 3): 2.15 + 5.13 = 7.28 kgCO2e</w:t>
      </w:r>
    </w:p>
    <w:bookmarkEnd w:id="37"/>
    <w:bookmarkEnd w:id="38"/>
    <w:bookmarkStart w:id="43" w:name="X0d2d52d07fcba5c8908bdb4bc4e5b3ce9fb1cb0"/>
    <w:p>
      <w:pPr>
        <w:pStyle w:val="Heading3"/>
      </w:pPr>
      <w:r>
        <w:t xml:space="preserve">4.2 Scope 3: Downstream Emissions (Gate-to-Grave)</w:t>
      </w:r>
    </w:p>
    <w:bookmarkStart w:id="39" w:name="outbound-logistics"/>
    <w:p>
      <w:pPr>
        <w:pStyle w:val="Heading4"/>
      </w:pPr>
      <w:r>
        <w:t xml:space="preserve">4.2.1 Outbound Logistics</w:t>
      </w:r>
    </w:p>
    <w:p>
      <w:pPr>
        <w:numPr>
          <w:ilvl w:val="0"/>
          <w:numId w:val="1013"/>
        </w:numPr>
        <w:pStyle w:val="Compact"/>
      </w:pPr>
      <w:r>
        <w:t xml:space="preserve">Product Weight: 0.67 kg = 0.00067 tonnes</w:t>
      </w:r>
    </w:p>
    <w:p>
      <w:pPr>
        <w:numPr>
          <w:ilvl w:val="0"/>
          <w:numId w:val="1013"/>
        </w:numPr>
        <w:pStyle w:val="Compact"/>
      </w:pPr>
      <w:r>
        <w:t xml:space="preserve">Transport Distance: 500 km</w:t>
      </w:r>
    </w:p>
    <w:p>
      <w:pPr>
        <w:numPr>
          <w:ilvl w:val="0"/>
          <w:numId w:val="1013"/>
        </w:numPr>
        <w:pStyle w:val="Compact"/>
      </w:pPr>
      <w:r>
        <w:t xml:space="preserve">Transport Mode: Road Freight (HGV)</w:t>
      </w:r>
    </w:p>
    <w:p>
      <w:pPr>
        <w:numPr>
          <w:ilvl w:val="0"/>
          <w:numId w:val="1013"/>
        </w:numPr>
        <w:pStyle w:val="Compact"/>
      </w:pPr>
      <w:r>
        <w:t xml:space="preserve">Emissions: 0.00067 tonnes * 500 km * 0.09 kgCO2e/tkm = 0.03 kgCO2e</w:t>
      </w:r>
    </w:p>
    <w:p>
      <w:pPr>
        <w:pStyle w:val="FirstParagraph"/>
      </w:pPr>
      <w:r>
        <w:rPr>
          <w:bCs/>
          <w:b/>
        </w:rPr>
        <w:t xml:space="preserve">Total Outbound Logistics Emissions: 0.03 kgCO2e</w:t>
      </w:r>
    </w:p>
    <w:bookmarkEnd w:id="39"/>
    <w:bookmarkStart w:id="40" w:name="last-mile-delivery"/>
    <w:p>
      <w:pPr>
        <w:pStyle w:val="Heading4"/>
      </w:pPr>
      <w:r>
        <w:t xml:space="preserve">4.2.2 Last-Mile Delivery</w:t>
      </w:r>
    </w:p>
    <w:p>
      <w:pPr>
        <w:numPr>
          <w:ilvl w:val="0"/>
          <w:numId w:val="1014"/>
        </w:numPr>
        <w:pStyle w:val="Compact"/>
      </w:pPr>
      <w:r>
        <w:t xml:space="preserve">Delivery Distance: 50 km</w:t>
      </w:r>
    </w:p>
    <w:p>
      <w:pPr>
        <w:numPr>
          <w:ilvl w:val="0"/>
          <w:numId w:val="1014"/>
        </w:numPr>
        <w:pStyle w:val="Compact"/>
      </w:pPr>
      <w:r>
        <w:t xml:space="preserve">Delivery Channel: Parcel Van</w:t>
      </w:r>
    </w:p>
    <w:p>
      <w:pPr>
        <w:numPr>
          <w:ilvl w:val="0"/>
          <w:numId w:val="1014"/>
        </w:numPr>
        <w:pStyle w:val="Compact"/>
      </w:pPr>
      <w:r>
        <w:t xml:space="preserve">Emissions: 50 km * 0.4 kgCO2e/km = 20.0 kgCO2e</w:t>
      </w:r>
    </w:p>
    <w:p>
      <w:pPr>
        <w:pStyle w:val="FirstParagraph"/>
      </w:pPr>
      <w:r>
        <w:rPr>
          <w:bCs/>
          <w:b/>
        </w:rPr>
        <w:t xml:space="preserve">Total Last-Mile Delivery Emissions: 20.0 kgCO2e</w:t>
      </w:r>
    </w:p>
    <w:bookmarkEnd w:id="40"/>
    <w:bookmarkStart w:id="41" w:name="use-phase"/>
    <w:p>
      <w:pPr>
        <w:pStyle w:val="Heading4"/>
      </w:pPr>
      <w:r>
        <w:t xml:space="preserve">4.2.3 Use Phase</w:t>
      </w:r>
    </w:p>
    <w:p>
      <w:pPr>
        <w:numPr>
          <w:ilvl w:val="0"/>
          <w:numId w:val="1015"/>
        </w:numPr>
        <w:pStyle w:val="Compact"/>
      </w:pPr>
      <w:r>
        <w:t xml:space="preserve">Product Lifespan: 5 years</w:t>
      </w:r>
    </w:p>
    <w:p>
      <w:pPr>
        <w:numPr>
          <w:ilvl w:val="0"/>
          <w:numId w:val="1015"/>
        </w:numPr>
        <w:pStyle w:val="Compact"/>
      </w:pPr>
      <w:r>
        <w:t xml:space="preserve">Energy Consumption in Use: 5 kWh/year</w:t>
      </w:r>
    </w:p>
    <w:p>
      <w:pPr>
        <w:numPr>
          <w:ilvl w:val="0"/>
          <w:numId w:val="1015"/>
        </w:numPr>
        <w:pStyle w:val="Compact"/>
      </w:pPr>
      <w:r>
        <w:t xml:space="preserve">Total energy consumed: 5 kWh/year * 5 years = 25 kWh</w:t>
      </w:r>
    </w:p>
    <w:p>
      <w:pPr>
        <w:numPr>
          <w:ilvl w:val="0"/>
          <w:numId w:val="1015"/>
        </w:numPr>
        <w:pStyle w:val="Compact"/>
      </w:pPr>
      <w:r>
        <w:t xml:space="preserve">Assumed Global Average Grid Mix: 0.4 kgCO2e/kWh</w:t>
      </w:r>
    </w:p>
    <w:p>
      <w:pPr>
        <w:numPr>
          <w:ilvl w:val="0"/>
          <w:numId w:val="1015"/>
        </w:numPr>
        <w:pStyle w:val="Compact"/>
      </w:pPr>
      <w:r>
        <w:t xml:space="preserve">Emissions: 25 kWh * 0.4 kgCO2e/kWh = 10.0 kgCO2e</w:t>
      </w:r>
    </w:p>
    <w:p>
      <w:pPr>
        <w:pStyle w:val="FirstParagraph"/>
      </w:pPr>
      <w:r>
        <w:rPr>
          <w:bCs/>
          <w:b/>
        </w:rPr>
        <w:t xml:space="preserve">Total Use Phase Emissions: 10.0 kgCO2e</w:t>
      </w:r>
    </w:p>
    <w:bookmarkEnd w:id="41"/>
    <w:bookmarkStart w:id="42" w:name="end-of-life-eol"/>
    <w:p>
      <w:pPr>
        <w:pStyle w:val="Heading4"/>
      </w:pPr>
      <w:r>
        <w:t xml:space="preserve">4.2.4 End-of-Life (EoL)</w:t>
      </w:r>
    </w:p>
    <w:p>
      <w:pPr>
        <w:numPr>
          <w:ilvl w:val="0"/>
          <w:numId w:val="1016"/>
        </w:numPr>
        <w:pStyle w:val="Compact"/>
      </w:pPr>
      <w:r>
        <w:t xml:space="preserve">Total Product Mass: 0.67 kg</w:t>
      </w:r>
    </w:p>
    <w:p>
      <w:pPr>
        <w:numPr>
          <w:ilvl w:val="0"/>
          <w:numId w:val="1016"/>
        </w:numPr>
        <w:pStyle w:val="Compact"/>
      </w:pPr>
      <w:r>
        <w:t xml:space="preserve">Recyclability Percentage: 60%</w:t>
      </w:r>
    </w:p>
    <w:p>
      <w:pPr>
        <w:numPr>
          <w:ilvl w:val="0"/>
          <w:numId w:val="1016"/>
        </w:numPr>
        <w:pStyle w:val="Compact"/>
      </w:pPr>
      <w:r>
        <w:t xml:space="preserve">Mass recycled: 0.67 kg * 0.60 = 0.402 kg</w:t>
      </w:r>
    </w:p>
    <w:p>
      <w:pPr>
        <w:numPr>
          <w:ilvl w:val="0"/>
          <w:numId w:val="1016"/>
        </w:numPr>
        <w:pStyle w:val="Compact"/>
      </w:pPr>
      <w:r>
        <w:t xml:space="preserve">Mass to landfill: 0.67 kg * (1 - 0.60) = 0.268 kg</w:t>
      </w:r>
    </w:p>
    <w:p>
      <w:pPr>
        <w:numPr>
          <w:ilvl w:val="0"/>
          <w:numId w:val="1016"/>
        </w:numPr>
        <w:pStyle w:val="Compact"/>
      </w:pPr>
      <w:r>
        <w:t xml:space="preserve">Emissions from recycling process: 0.402 kg * 0.1 kgCO2e/kg = 0.0402 kgCO2e</w:t>
      </w:r>
    </w:p>
    <w:p>
      <w:pPr>
        <w:numPr>
          <w:ilvl w:val="0"/>
          <w:numId w:val="1016"/>
        </w:numPr>
        <w:pStyle w:val="Compact"/>
      </w:pPr>
      <w:r>
        <w:t xml:space="preserve">Emissions from landfill: 0.268 kg * 0.8 kgCO2e/kg = 0.2144 kgCO2e</w:t>
      </w:r>
    </w:p>
    <w:p>
      <w:pPr>
        <w:pStyle w:val="FirstParagraph"/>
      </w:pPr>
      <w:r>
        <w:rPr>
          <w:bCs/>
          <w:b/>
        </w:rPr>
        <w:t xml:space="preserve">Total End-of-Life Emissions: 0.0402 + 0.2144 = 0.25 kgCO2e</w:t>
      </w:r>
    </w:p>
    <w:p>
      <w:pPr>
        <w:pStyle w:val="BodyText"/>
      </w:pPr>
      <w:r>
        <w:rPr>
          <w:bCs/>
          <w:b/>
        </w:rPr>
        <w:t xml:space="preserve">Circular/Take-back Programs:</w:t>
      </w:r>
      <w:r>
        <w:t xml:space="preserve"> </w:t>
      </w:r>
      <w:r>
        <w:t xml:space="preserve">The \'vynojfotff\' program (product take-back and refurbishment) can significantly reduce EoL impacts, potentially leading to avoided emissions from new production. While not quantitatively modelled here due to data limitations, it represents a substantial mitigation effort beyond the simple recyclability percentage.</w:t>
      </w:r>
    </w:p>
    <w:bookmarkEnd w:id="42"/>
    <w:bookmarkEnd w:id="43"/>
    <w:bookmarkStart w:id="44" w:name="X94e4755688128ea3b5793b95277d5b9a5cb2ef1"/>
    <w:p>
      <w:pPr>
        <w:pStyle w:val="Heading3"/>
      </w:pPr>
      <w:r>
        <w:t xml:space="preserve">4.3 Total Product Carbon Footprint (Cradle-to-Grave)</w:t>
      </w:r>
    </w:p>
    <w:p>
      <w:pPr>
        <w:pStyle w:val="FirstParagraph"/>
      </w:pPr>
      <w:r>
        <w:t xml:space="preserve">Summing up all calculated emissions:</w:t>
      </w:r>
    </w:p>
    <w:p>
      <w:pPr>
        <w:numPr>
          <w:ilvl w:val="0"/>
          <w:numId w:val="1017"/>
        </w:numPr>
        <w:pStyle w:val="Compact"/>
      </w:pPr>
      <w:r>
        <w:t xml:space="preserve">Scope 2 (Manufacturing Electricity): 2.15 kgCO2e</w:t>
      </w:r>
    </w:p>
    <w:p>
      <w:pPr>
        <w:numPr>
          <w:ilvl w:val="0"/>
          <w:numId w:val="1017"/>
        </w:numPr>
        <w:pStyle w:val="Compact"/>
      </w:pPr>
      <w:r>
        <w:t xml:space="preserve">Scope 3 Upstream (Materials + Inbound Logistics): 5.13 kgCO2e</w:t>
      </w:r>
    </w:p>
    <w:p>
      <w:pPr>
        <w:numPr>
          <w:ilvl w:val="0"/>
          <w:numId w:val="1017"/>
        </w:numPr>
        <w:pStyle w:val="Compact"/>
      </w:pPr>
      <w:r>
        <w:t xml:space="preserve">Scope 3 Downstream (Outbound Logistics + Last-Mile + Use Phase + EoL): 0.03 + 20.0 + 10.0 + 0.25 = 30.28 kgCO2e</w:t>
      </w:r>
    </w:p>
    <w:p>
      <w:pPr>
        <w:pStyle w:val="FirstParagraph"/>
      </w:pPr>
      <w:r>
        <w:rPr>
          <w:bCs/>
          <w:b/>
        </w:rPr>
        <w:t xml:space="preserve">Total PCF (Cradle-to-Grave): 2.15 + 5.13 + 30.28 = 37.56 kgCO2e per unit of nohgrrfqwm</w:t>
      </w:r>
    </w:p>
    <w:bookmarkEnd w:id="44"/>
    <w:bookmarkStart w:id="45" w:name="ghg-protocol-scope-classification"/>
    <w:p>
      <w:pPr>
        <w:pStyle w:val="Heading3"/>
      </w:pPr>
      <w:r>
        <w:t xml:space="preserve">4.4 GHG Protocol Scope Classification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2.15</w:t>
            </w:r>
          </w:p>
        </w:tc>
        <w:tc>
          <w:tcPr/>
          <w:p>
            <w:pPr>
              <w:pStyle w:val="Compact"/>
              <w:jc w:val="left"/>
            </w:pPr>
            <w:r>
              <w:t xml:space="preserve">5.72%</w:t>
            </w:r>
          </w:p>
        </w:tc>
      </w:tr>
      <w:tr>
        <w:tc>
          <w:tcPr/>
          <w:p>
            <w:pPr>
              <w:pStyle w:val="Compact"/>
              <w:jc w:val="left"/>
            </w:pPr>
            <w:r>
              <w:t xml:space="preserve">Scope 3 (Upstream)</w:t>
            </w:r>
          </w:p>
        </w:tc>
        <w:tc>
          <w:tcPr/>
          <w:p>
            <w:pPr>
              <w:pStyle w:val="Compact"/>
              <w:jc w:val="left"/>
            </w:pPr>
            <w:r>
              <w:t xml:space="preserve">Materials Acquisition &amp; Processing</w:t>
            </w:r>
          </w:p>
        </w:tc>
        <w:tc>
          <w:tcPr/>
          <w:p>
            <w:pPr>
              <w:pStyle w:val="Compact"/>
              <w:jc w:val="left"/>
            </w:pPr>
            <w:r>
              <w:t xml:space="preserve">5.10</w:t>
            </w:r>
          </w:p>
        </w:tc>
        <w:tc>
          <w:tcPr/>
          <w:p>
            <w:pPr>
              <w:pStyle w:val="Compact"/>
              <w:jc w:val="left"/>
            </w:pPr>
            <w:r>
              <w:t xml:space="preserve">13.58%</w:t>
            </w:r>
          </w:p>
        </w:tc>
      </w:tr>
      <w:tr>
        <w:tc>
          <w:tcPr/>
          <w:p>
            <w:pPr>
              <w:pStyle w:val="Compact"/>
              <w:jc w:val="left"/>
            </w:pPr>
            <w:r>
              <w:t xml:space="preserve">Scope 3 (Upstream)</w:t>
            </w:r>
          </w:p>
        </w:tc>
        <w:tc>
          <w:tcPr/>
          <w:p>
            <w:pPr>
              <w:pStyle w:val="Compact"/>
              <w:jc w:val="left"/>
            </w:pPr>
            <w:r>
              <w:t xml:space="preserve">Inbound Logistics</w:t>
            </w:r>
          </w:p>
        </w:tc>
        <w:tc>
          <w:tcPr/>
          <w:p>
            <w:pPr>
              <w:pStyle w:val="Compact"/>
              <w:jc w:val="left"/>
            </w:pPr>
            <w:r>
              <w:t xml:space="preserve">0.03</w:t>
            </w:r>
          </w:p>
        </w:tc>
        <w:tc>
          <w:tcPr/>
          <w:p>
            <w:pPr>
              <w:pStyle w:val="Compact"/>
              <w:jc w:val="left"/>
            </w:pPr>
            <w:r>
              <w:t xml:space="preserve">0.08%</w:t>
            </w:r>
          </w:p>
        </w:tc>
      </w:tr>
      <w:tr>
        <w:tc>
          <w:tcPr/>
          <w:p>
            <w:pPr>
              <w:pStyle w:val="Compact"/>
              <w:jc w:val="left"/>
            </w:pPr>
            <w:r>
              <w:t xml:space="preserve">Scope 3 (Downstream)</w:t>
            </w:r>
          </w:p>
        </w:tc>
        <w:tc>
          <w:tcPr/>
          <w:p>
            <w:pPr>
              <w:pStyle w:val="Compact"/>
              <w:jc w:val="left"/>
            </w:pPr>
            <w:r>
              <w:t xml:space="preserve">Outbound Logistics</w:t>
            </w:r>
          </w:p>
        </w:tc>
        <w:tc>
          <w:tcPr/>
          <w:p>
            <w:pPr>
              <w:pStyle w:val="Compact"/>
              <w:jc w:val="left"/>
            </w:pPr>
            <w:r>
              <w:t xml:space="preserve">0.03</w:t>
            </w:r>
          </w:p>
        </w:tc>
        <w:tc>
          <w:tcPr/>
          <w:p>
            <w:pPr>
              <w:pStyle w:val="Compact"/>
              <w:jc w:val="left"/>
            </w:pPr>
            <w:r>
              <w:t xml:space="preserve">0.08%</w:t>
            </w:r>
          </w:p>
        </w:tc>
      </w:tr>
      <w:tr>
        <w:tc>
          <w:tcPr/>
          <w:p>
            <w:pPr>
              <w:pStyle w:val="Compact"/>
              <w:jc w:val="left"/>
            </w:pPr>
            <w:r>
              <w:t xml:space="preserve">Scope 3 (Downstream)</w:t>
            </w:r>
          </w:p>
        </w:tc>
        <w:tc>
          <w:tcPr/>
          <w:p>
            <w:pPr>
              <w:pStyle w:val="Compact"/>
              <w:jc w:val="left"/>
            </w:pPr>
            <w:r>
              <w:t xml:space="preserve">Last-Mile Delivery</w:t>
            </w:r>
          </w:p>
        </w:tc>
        <w:tc>
          <w:tcPr/>
          <w:p>
            <w:pPr>
              <w:pStyle w:val="Compact"/>
              <w:jc w:val="left"/>
            </w:pPr>
            <w:r>
              <w:t xml:space="preserve">20.00</w:t>
            </w:r>
          </w:p>
        </w:tc>
        <w:tc>
          <w:tcPr/>
          <w:p>
            <w:pPr>
              <w:pStyle w:val="Compact"/>
              <w:jc w:val="left"/>
            </w:pPr>
            <w:r>
              <w:t xml:space="preserve">53.25%</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10.00</w:t>
            </w:r>
          </w:p>
        </w:tc>
        <w:tc>
          <w:tcPr/>
          <w:p>
            <w:pPr>
              <w:pStyle w:val="Compact"/>
              <w:jc w:val="left"/>
            </w:pPr>
            <w:r>
              <w:t xml:space="preserve">26.63%</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0.25</w:t>
            </w:r>
          </w:p>
        </w:tc>
        <w:tc>
          <w:tcPr/>
          <w:p>
            <w:pPr>
              <w:pStyle w:val="Compact"/>
              <w:jc w:val="left"/>
            </w:pPr>
            <w:r>
              <w:t xml:space="preserve">0.66%</w:t>
            </w:r>
          </w:p>
        </w:tc>
      </w:tr>
      <w:tr>
        <w:tc>
          <w:tcPr/>
          <w:p>
            <w:pPr>
              <w:pStyle w:val="Compact"/>
              <w:jc w:val="left"/>
            </w:pPr>
            <w:r>
              <w:rPr>
                <w:bCs/>
                <w:b/>
              </w:rPr>
              <w:t xml:space="preserve">Total</w:t>
            </w:r>
          </w:p>
        </w:tc>
        <w:tc>
          <w:tcPr/>
          <w:p>
            <w:pPr>
              <w:pStyle w:val="Compact"/>
            </w:pPr>
          </w:p>
        </w:tc>
        <w:tc>
          <w:tcPr/>
          <w:p>
            <w:pPr>
              <w:pStyle w:val="Compact"/>
              <w:jc w:val="left"/>
            </w:pPr>
            <w:r>
              <w:rPr>
                <w:bCs/>
                <w:b/>
              </w:rPr>
              <w:t xml:space="preserve">37.56</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analysis covers all relevant Scope 3 categories as required, demonstrating an estimated &gt;95% coverage of value chain emissions, in line with 2026 requirements. The primary unquantified aspects are business travel, employee commuting, and capital goods, which are assumed to be minor contributors relative to the product\'s direct lifecycle.</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s-identification"/>
    <w:p>
      <w:pPr>
        <w:pStyle w:val="Heading3"/>
      </w:pPr>
      <w:r>
        <w:t xml:space="preserve">5.1 Hotspots Identification</w:t>
      </w:r>
    </w:p>
    <w:p>
      <w:pPr>
        <w:pStyle w:val="FirstParagraph"/>
      </w:pPr>
      <w:r>
        <w:t xml:space="preserve">Based on the detailed PCF analysis, the primary emission hotspots for \'nohgrrfqwm\' are:</w:t>
      </w:r>
    </w:p>
    <w:p>
      <w:pPr>
        <w:numPr>
          <w:ilvl w:val="0"/>
          <w:numId w:val="1018"/>
        </w:numPr>
        <w:pStyle w:val="Compact"/>
      </w:pPr>
      <w:r>
        <w:rPr>
          <w:bCs/>
          <w:b/>
        </w:rPr>
        <w:t xml:space="preserve">Last-Mile Delivery (53.25%):</w:t>
      </w:r>
      <w:r>
        <w:t xml:space="preserve"> </w:t>
      </w:r>
      <w:r>
        <w:t xml:space="preserve">This stage represents the largest single contributor to the product\'s carbon footprint. This is primarily driven by the assumed mode of transport (Parcel Van) and the delivery distance to individual customers.</w:t>
      </w:r>
    </w:p>
    <w:p>
      <w:pPr>
        <w:numPr>
          <w:ilvl w:val="0"/>
          <w:numId w:val="1018"/>
        </w:numPr>
        <w:pStyle w:val="Compact"/>
      </w:pPr>
      <w:r>
        <w:rPr>
          <w:bCs/>
          <w:b/>
        </w:rPr>
        <w:t xml:space="preserve">Use Phase (26.63%):</w:t>
      </w:r>
      <w:r>
        <w:t xml:space="preserve"> </w:t>
      </w:r>
      <w:r>
        <w:t xml:space="preserve">The energy consumption during the product\'s 5-year lifespan is a significant factor, highlighting the importance of energy efficiency in product design.</w:t>
      </w:r>
    </w:p>
    <w:p>
      <w:pPr>
        <w:numPr>
          <w:ilvl w:val="0"/>
          <w:numId w:val="1018"/>
        </w:numPr>
        <w:pStyle w:val="Compact"/>
      </w:pPr>
      <w:r>
        <w:rPr>
          <w:bCs/>
          <w:b/>
        </w:rPr>
        <w:t xml:space="preserve">Materials Acquisition &amp; Processing (13.58%):</w:t>
      </w:r>
      <w:r>
        <w:t xml:space="preserve"> </w:t>
      </w:r>
      <w:r>
        <w:t xml:space="preserve">The embedded emissions in raw materials, particularly the circuit board and lithium battery in our illustrative data, contribute substantially to the upstream footprint.</w:t>
      </w:r>
    </w:p>
    <w:p>
      <w:pPr>
        <w:numPr>
          <w:ilvl w:val="0"/>
          <w:numId w:val="1018"/>
        </w:numPr>
        <w:pStyle w:val="Compact"/>
      </w:pPr>
      <w:r>
        <w:rPr>
          <w:bCs/>
          <w:b/>
        </w:rPr>
        <w:t xml:space="preserve">Manufacturing Electricity (5.72%):</w:t>
      </w:r>
      <w:r>
        <w:t xml:space="preserve"> </w:t>
      </w:r>
      <w:r>
        <w:t xml:space="preserve">While \'zpfgsvguse\' utilizes 70% renewable energy, the remaining non-renewable portion still contributes to the overall footprint.</w:t>
      </w:r>
    </w:p>
    <w:bookmarkEnd w:id="47"/>
    <w:bookmarkStart w:id="48" w:name="reliability-and-recommendations"/>
    <w:p>
      <w:pPr>
        <w:pStyle w:val="Heading3"/>
      </w:pPr>
      <w:r>
        <w:t xml:space="preserve">5.2 Reliability and Recommendations</w:t>
      </w:r>
    </w:p>
    <w:p>
      <w:pPr>
        <w:numPr>
          <w:ilvl w:val="0"/>
          <w:numId w:val="1019"/>
        </w:numPr>
        <w:pStyle w:val="Compact"/>
      </w:pPr>
      <w:r>
        <w:rPr>
          <w:bCs/>
          <w:b/>
        </w:rPr>
        <w:t xml:space="preserve">Data Quality:</w:t>
      </w:r>
      <w:r>
        <w:t xml:space="preserve"> </w:t>
      </w:r>
      <w:r>
        <w:t xml:space="preserve">The reliability of this report is directly dependent on the accuracy and completeness of the provided input data. The illustrative BOM and assumed parameters necessitate that \'zpfgsvguse\' gather precise primary data for each stage to achieve a highly accurate PCF.</w:t>
      </w:r>
    </w:p>
    <w:p>
      <w:pPr>
        <w:numPr>
          <w:ilvl w:val="0"/>
          <w:numId w:val="1019"/>
        </w:numPr>
        <w:pStyle w:val="Compact"/>
      </w:pPr>
      <w:r>
        <w:rPr>
          <w:bCs/>
          <w:b/>
        </w:rPr>
        <w:t xml:space="preserve">Logistics Optimization:</w:t>
      </w:r>
      <w:r>
        <w:t xml:space="preserve"> </w:t>
      </w:r>
      <w:r>
        <w:t xml:space="preserve">The significant impact of last-mile delivery suggests a strong potential for emission reduction through optimizing delivery routes, consolidating shipments, shifting to lower-carbon transport modes (e.g., electric vehicles), or exploring local distribution models.</w:t>
      </w:r>
    </w:p>
    <w:p>
      <w:pPr>
        <w:numPr>
          <w:ilvl w:val="0"/>
          <w:numId w:val="1019"/>
        </w:numPr>
        <w:pStyle w:val="Compact"/>
      </w:pPr>
      <w:r>
        <w:rPr>
          <w:bCs/>
          <w:b/>
        </w:rPr>
        <w:t xml:space="preserve">Energy Efficiency in Use:</w:t>
      </w:r>
      <w:r>
        <w:t xml:space="preserve"> </w:t>
      </w:r>
      <w:r>
        <w:t xml:space="preserve">Efforts should focus on designing \'nohgrrfqwm\' for lower energy consumption during its use phase. Providing users with information on sustainable usage and energy-saving modes can also contribute.</w:t>
      </w:r>
    </w:p>
    <w:p>
      <w:pPr>
        <w:numPr>
          <w:ilvl w:val="0"/>
          <w:numId w:val="1019"/>
        </w:numPr>
        <w:pStyle w:val="Compact"/>
      </w:pPr>
      <w:r>
        <w:rPr>
          <w:bCs/>
          <w:b/>
        </w:rPr>
        <w:t xml:space="preserve">Material Selection:</w:t>
      </w:r>
      <w:r>
        <w:t xml:space="preserve"> </w:t>
      </w:r>
      <w:r>
        <w:t xml:space="preserve">Investigating lower-carbon alternatives for high-impact materials (e.g., alternative battery chemistries, recycled plastics, or metals with lower embodied carbon) can yield significant reductions.</w:t>
      </w:r>
    </w:p>
    <w:p>
      <w:pPr>
        <w:numPr>
          <w:ilvl w:val="0"/>
          <w:numId w:val="1019"/>
        </w:numPr>
        <w:pStyle w:val="Compact"/>
      </w:pPr>
      <w:r>
        <w:rPr>
          <w:bCs/>
          <w:b/>
        </w:rPr>
        <w:t xml:space="preserve">Renewable Energy Expansion:</w:t>
      </w:r>
      <w:r>
        <w:t xml:space="preserve"> </w:t>
      </w:r>
      <w:r>
        <w:t xml:space="preserve">Increasing the percentage of renewable energy used in manufacturing beyond 70% will further reduce Scope 2 emissions.</w:t>
      </w:r>
    </w:p>
    <w:p>
      <w:pPr>
        <w:numPr>
          <w:ilvl w:val="0"/>
          <w:numId w:val="1019"/>
        </w:numPr>
        <w:pStyle w:val="Compact"/>
      </w:pPr>
      <w:r>
        <w:rPr>
          <w:bCs/>
          <w:b/>
        </w:rPr>
        <w:t xml:space="preserve">Circular Economy Integration:</w:t>
      </w:r>
      <w:r>
        <w:t xml:space="preserve"> </w:t>
      </w:r>
      <w:r>
        <w:t xml:space="preserve">The existing \'vynojfotff\' take-back program is commendable. Expanding its reach and ensuring high rates of refurbishment and material recovery can lead to significant avoided emissions. Further analysis of the actual emissions savings from these programs is recommended.</w:t>
      </w:r>
    </w:p>
    <w:bookmarkEnd w:id="48"/>
    <w:bookmarkEnd w:id="4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nohgrrfqwm</dc:title>
  <dc:creator/>
  <dc:description>Detailed Product Carbon Footprint (PCF) analysis report for nohgrrfqwm, following GHG Protocol standards and 2026 LSR update. Conducted by whzzgjpgos for zpfgsvguse.</dc:description>
  <dc:language>en</dc:language>
  <cp:keywords/>
  <dcterms:created xsi:type="dcterms:W3CDTF">2026-07-15T09:08:54Z</dcterms:created>
  <dcterms:modified xsi:type="dcterms:W3CDTF">2026-07-15T09:08:54Z</dcterms:modified>
</cp:coreProperties>
</file>

<file path=docProps/custom.xml><?xml version="1.0" encoding="utf-8"?>
<Properties xmlns="http://schemas.openxmlformats.org/officeDocument/2006/custom-properties" xmlns:vt="http://schemas.openxmlformats.org/officeDocument/2006/docPropsVTypes"/>
</file>