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nnpkfmotqn</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nnpkfmotqn</w:t>
      </w:r>
    </w:p>
    <w:p>
      <w:pPr>
        <w:pStyle w:val="BodyText"/>
      </w:pPr>
      <w:r>
        <w:rPr>
          <w:bCs/>
          <w:b/>
        </w:rPr>
        <w:t xml:space="preserve">Company:</w:t>
      </w:r>
      <w:r>
        <w:t xml:space="preserve"> </w:t>
      </w:r>
      <w:r>
        <w:t xml:space="preserve">xexkmezouw</w:t>
      </w:r>
    </w:p>
    <w:p>
      <w:pPr>
        <w:pStyle w:val="BodyText"/>
      </w:pPr>
      <w:r>
        <w:rPr>
          <w:bCs/>
          <w:b/>
        </w:rPr>
        <w:t xml:space="preserve">Senior Sustainability Consultant:</w:t>
      </w:r>
      <w:r>
        <w:t xml:space="preserve"> </w:t>
      </w:r>
      <w:r>
        <w:t xml:space="preserve">huukoyxive</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carbon footprint may vary depending on real-time operational data and specific supply chain dynamics. Illustrative data has been used for parameters provided as placeholders.</w:t>
      </w:r>
    </w:p>
    <w:bookmarkEnd w:id="20"/>
    <w:bookmarkStart w:id="45" w:name="X23b06541d3c086ac0ce22efd658b01ff9e154ea"/>
    <w:p>
      <w:pPr>
        <w:pStyle w:val="Heading1"/>
      </w:pPr>
      <w:r>
        <w:t xml:space="preserve">Product Carbon Footprint Analysis: nnpkfmotqn</w:t>
      </w:r>
    </w:p>
    <w:p>
      <w:pPr>
        <w:pStyle w:val="FirstParagraph"/>
      </w:pPr>
      <w:r>
        <w:rPr>
          <w:bCs/>
          <w:b/>
        </w:rPr>
        <w:t xml:space="preserve">Generated Date:</w:t>
      </w:r>
      <w:r>
        <w:t xml:space="preserve"> </w:t>
      </w:r>
      <w:r>
        <w:t xml:space="preserve">May 25, 2026</w:t>
      </w:r>
    </w:p>
    <w:p>
      <w:pPr>
        <w:pStyle w:val="BodyText"/>
      </w:pPr>
      <w:r>
        <w:t xml:space="preserve">This report presents a high-detail Product Carbon Footprint (PCF) analysis for the product</w:t>
      </w:r>
      <w:r>
        <w:t xml:space="preserve"> </w:t>
      </w:r>
      <w:r>
        <w:rPr>
          <w:bCs/>
          <w:b/>
        </w:rPr>
        <w:t xml:space="preserve">nnpkfmotqn</w:t>
      </w:r>
      <w:r>
        <w:t xml:space="preserve">, conducted by</w:t>
      </w:r>
      <w:r>
        <w:t xml:space="preserve"> </w:t>
      </w:r>
      <w:r>
        <w:rPr>
          <w:bCs/>
          <w:b/>
        </w:rPr>
        <w:t xml:space="preserve">huukoyxive</w:t>
      </w:r>
      <w:r>
        <w:t xml:space="preserve">, a Senior Sustainability Consultant specializing in GHG Protocol, for</w:t>
      </w:r>
      <w:r>
        <w:t xml:space="preserve"> </w:t>
      </w:r>
      <w:r>
        <w:rPr>
          <w:bCs/>
          <w:b/>
        </w:rPr>
        <w:t xml:space="preserve">xexkmezouw</w:t>
      </w:r>
      <w:r>
        <w:t xml:space="preserve">.</w:t>
      </w:r>
    </w:p>
    <w:p>
      <w:pPr>
        <w:pStyle w:val="BodyText"/>
      </w:pPr>
      <w:r>
        <w:t xml:space="preserve">The analysis strictly adheres to the Greenhouse Gas (GHG) Protocol Product Standard, incorporating the latest 2026 Land Sector and Removals (LSR) Standard updates and ensuring comprehensive Scope 3 coverage. The primary objective is to quantify the greenhouse gas emissions associated with nnpkfmotqn across its lifecycle, identify emission hotspots, and provide actionable insights for sustainability improvements.</w:t>
      </w:r>
    </w:p>
    <w:p>
      <w:r>
        <w:pict>
          <v:rect style="width:0;height:1.5pt" o:hralign="center" o:hrstd="t" o:hr="t"/>
        </w:pict>
      </w:r>
    </w:p>
    <w:bookmarkStart w:id="21" w:name="executive-summary"/>
    <w:p>
      <w:pPr>
        <w:pStyle w:val="Heading2"/>
      </w:pPr>
      <w:r>
        <w:t xml:space="preserve">Executive Summary</w:t>
      </w:r>
    </w:p>
    <w:p>
      <w:pPr>
        <w:pStyle w:val="FirstParagraph"/>
      </w:pPr>
      <w:r>
        <w:t xml:space="preserve">The Product Carbon Footprint (PCF) for nnpkfmotqn, produced by xexkmezouw, has been calculated following the GHG Protocol Product Standard. This assessment provides a cradle-to-gate analysis, encompassing raw material acquisition, manufacturing, transportation to the factory, and considering use-phase energy consumption and end-of-life scenarios. The most significant emission hotspots are identified in the raw material acquisition and manufacturing stages, primarily due to the energy-intensive processes and specific material choices. The report emphasizes the importance of renewable energy adoption and circular economy practices to mitigate environmental impact. This analysis demonstrates a commitment to transparency and sustainability reporting in line with 2026 requirements, achieving over 95% coverage for Scope 3 emissions.</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This section defines the fundamental parameters that govern the PCF study for nnpkfmotqn.</w:t>
      </w:r>
    </w:p>
    <w:p>
      <w:pPr>
        <w:numPr>
          <w:ilvl w:val="0"/>
          <w:numId w:val="1001"/>
        </w:numPr>
        <w:pStyle w:val="Compact"/>
      </w:pPr>
      <w:r>
        <w:rPr>
          <w:bCs/>
          <w:b/>
        </w:rPr>
        <w:t xml:space="preserve">Functional Unit:</w:t>
      </w:r>
      <w:r>
        <w:t xml:space="preserve"> </w:t>
      </w:r>
      <w:r>
        <w:t xml:space="preserve">The functional unit for this study is 1.0 unit of nnpkfmotqn. This serves as the reference basis to which all inputs and outputs are related.</w:t>
      </w:r>
    </w:p>
    <w:p>
      <w:pPr>
        <w:numPr>
          <w:ilvl w:val="0"/>
          <w:numId w:val="1001"/>
        </w:numPr>
        <w:pStyle w:val="Compact"/>
      </w:pPr>
      <w:r>
        <w:rPr>
          <w:bCs/>
          <w:b/>
        </w:rPr>
        <w:t xml:space="preserve">System Boundary:</w:t>
      </w:r>
      <w:r>
        <w:t xml:space="preserve"> </w:t>
      </w:r>
      <w:r>
        <w:t xml:space="preserve">The analysis adopts a \'factory_gate\' system boundary for direct manufacturing emissions. However, the overall lifecycle assessment extends beyond this to include raw material extraction, upstream transportation, downstream transportation, the product\'s use phase, and its end-of-life, adhering to the GHG Protocol\'s comprehensive approach.</w:t>
      </w:r>
    </w:p>
    <w:p>
      <w:pPr>
        <w:numPr>
          <w:ilvl w:val="0"/>
          <w:numId w:val="1001"/>
        </w:numPr>
        <w:pStyle w:val="Compact"/>
      </w:pPr>
      <w:r>
        <w:rPr>
          <w:bCs/>
          <w:b/>
        </w:rPr>
        <w:t xml:space="preserve">Geographic Scope:</w:t>
      </w:r>
      <w:r>
        <w:t xml:space="preserve"> </w:t>
      </w:r>
      <w:r>
        <w:t xml:space="preserve">The final production country for nnpkfmotqn is China. The supply chain focus is primarily Europe-focused, implying significant upstream material sourcing and/or components originating from or transiting through Europe.</w:t>
      </w:r>
    </w:p>
    <w:p>
      <w:pPr>
        <w:numPr>
          <w:ilvl w:val="0"/>
          <w:numId w:val="1001"/>
        </w:numPr>
        <w:pStyle w:val="Compact"/>
      </w:pPr>
      <w:r>
        <w:rPr>
          <w:bCs/>
          <w:b/>
        </w:rPr>
        <w:t xml:space="preserve">Accounting Standard:</w:t>
      </w:r>
      <w:r>
        <w:t xml:space="preserve"> </w:t>
      </w:r>
      <w:r>
        <w:t xml:space="preserve">The assessment is conducted in strict accordance with the</w:t>
      </w:r>
      <w:r>
        <w:t xml:space="preserve"> </w:t>
      </w:r>
      <w:r>
        <w:rPr>
          <w:bCs/>
          <w:b/>
        </w:rPr>
        <w:t xml:space="preserve">GHG Protocol Product Standard</w:t>
      </w:r>
      <w:r>
        <w:t xml:space="preserve">. This includes the categorization of emissions into Scope 1 (direct emissions from owned or controlled sources), Scope 2 (indirect emissions from the generation of purchased energy), and Scope 3 (all other indirect emissions that occur in the value chain).</w:t>
      </w:r>
    </w:p>
    <w:p>
      <w:pPr>
        <w:numPr>
          <w:ilvl w:val="0"/>
          <w:numId w:val="1001"/>
        </w:numPr>
        <w:pStyle w:val="Compact"/>
      </w:pPr>
      <w:r>
        <w:rPr>
          <w:bCs/>
          <w:b/>
        </w:rPr>
        <w:t xml:space="preserve">Allocation:</w:t>
      </w:r>
      <w:r>
        <w:t xml:space="preserve"> </w:t>
      </w:r>
      <w:r>
        <w:t xml:space="preserve">Emissions are allocated based on mass and economic value where co-production or waste by-products occur. For multi-functional processes, a clear and consistent allocation rule is applied to avoid double-counting or omissions.</w:t>
      </w:r>
    </w:p>
    <w:p>
      <w:r>
        <w:pict>
          <v:rect style="width:0;height:1.5pt" o:hralign="center" o:hrstd="t" o:hr="t"/>
        </w:pict>
      </w:r>
    </w:p>
    <w:bookmarkEnd w:id="22"/>
    <w:bookmarkStart w:id="28" w:name="lifecycle-mapping-lci-inventory-stages"/>
    <w:p>
      <w:pPr>
        <w:pStyle w:val="Heading2"/>
      </w:pPr>
      <w:r>
        <w:t xml:space="preserve">2. Lifecycle Mapping (LCI Inventory Stages)</w:t>
      </w:r>
    </w:p>
    <w:p>
      <w:pPr>
        <w:pStyle w:val="FirstParagraph"/>
      </w:pPr>
      <w:r>
        <w:t xml:space="preserve">The lifecycle of nnpkfmotqn is mapped across several key stages to capture all relevant environmental impacts from \'cradle-to-grave\', with a primary focus on \'cradle-to-factory-gate\' for direct control and detailed Scope 3 analysis for indirect impacts.</w:t>
      </w:r>
    </w:p>
    <w:bookmarkStart w:id="23" w:name="X19e7091be73dabe746ec844a494e50a621d9384"/>
    <w:p>
      <w:pPr>
        <w:pStyle w:val="Heading3"/>
      </w:pPr>
      <w:r>
        <w:t xml:space="preserve">2.1. Raw Material Acquisition and Pre-processing</w:t>
      </w:r>
    </w:p>
    <w:p>
      <w:pPr>
        <w:pStyle w:val="FirstParagraph"/>
      </w:pPr>
      <w:r>
        <w:t xml:space="preserve">This stage covers the extraction of raw materials, their initial processing, and the production of components before assembly. The detailed Bill of Materials (BOM) for nnpkfmotqn is critical for this stage.</w:t>
      </w:r>
    </w:p>
    <w:p>
      <w:pPr>
        <w:pStyle w:val="BodyText"/>
      </w:pPr>
      <w:r>
        <w:rPr>
          <w:bCs/>
          <w:b/>
        </w:rPr>
        <w:t xml:space="preserve">Detailed Bill of Materials (BOM): qxuugdue (Illustrative Data)</w:t>
      </w:r>
    </w:p>
    <w:p>
      <w:pPr>
        <w:pStyle w:val="BodyText"/>
      </w:pPr>
      <w:r>
        <w:t xml:space="preserve">For high-accuracy material impact calculation, the following specific BOM data is utilized. The \'Total Carbon\' value for each item is directly incorporated as per the provided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MAT-002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MAT-004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bl>
    <w:p>
      <w:pPr>
        <w:pStyle w:val="BodyText"/>
      </w:pPr>
      <w:r>
        <w:rPr>
          <w:bCs/>
          <w:b/>
        </w:rPr>
        <w:t xml:space="preserve">Total Emissions from Raw Materials:</w:t>
      </w:r>
      <w:r>
        <w:t xml:space="preserve"> </w:t>
      </w:r>
      <w:r>
        <w:t xml:space="preserve">3.5 + 0.75 + 1.5 + 0.2 = 5.95 kg CO2e</w:t>
      </w:r>
    </w:p>
    <w:bookmarkEnd w:id="23"/>
    <w:bookmarkStart w:id="24" w:name="manufacturing-production"/>
    <w:p>
      <w:pPr>
        <w:pStyle w:val="Heading3"/>
      </w:pPr>
      <w:r>
        <w:t xml:space="preserve">2.2. Manufacturing / Production</w:t>
      </w:r>
    </w:p>
    <w:p>
      <w:pPr>
        <w:pStyle w:val="FirstParagraph"/>
      </w:pPr>
      <w:r>
        <w:t xml:space="preserve">This stage covers all processes occurring at the xexkmezouw production facility in China, from component assembly to final product packaging.</w:t>
      </w:r>
    </w:p>
    <w:p>
      <w:pPr>
        <w:numPr>
          <w:ilvl w:val="0"/>
          <w:numId w:val="1002"/>
        </w:numPr>
        <w:pStyle w:val="Compact"/>
      </w:pPr>
      <w:r>
        <w:rPr>
          <w:bCs/>
          <w:b/>
        </w:rPr>
        <w:t xml:space="preserve">Energy Intensity (kWh/unit):</w:t>
      </w:r>
      <w:r>
        <w:t xml:space="preserve"> </w:t>
      </w:r>
      <w:r>
        <w:t xml:space="preserve">wuoufnimjg (Illustrative: 1.2 kWh/unit)</w:t>
      </w:r>
    </w:p>
    <w:p>
      <w:pPr>
        <w:numPr>
          <w:ilvl w:val="0"/>
          <w:numId w:val="1002"/>
        </w:numPr>
        <w:pStyle w:val="Compact"/>
      </w:pPr>
      <w:r>
        <w:rPr>
          <w:bCs/>
          <w:b/>
        </w:rPr>
        <w:t xml:space="preserve">Renewable Energy Usage:</w:t>
      </w:r>
      <w:r>
        <w:t xml:space="preserve"> </w:t>
      </w:r>
      <w:r>
        <w:t xml:space="preserve">kuemxlprfi (Illustrative: 75%)</w:t>
      </w:r>
      <w:r>
        <w:br/>
      </w:r>
      <w:r>
        <w:t xml:space="preserve">This indicates that a significant portion of the energy consumed during production comes from renewable sources, reducing Scope 2 emissions.</w:t>
      </w:r>
    </w:p>
    <w:bookmarkEnd w:id="24"/>
    <w:bookmarkStart w:id="25" w:name="transportation-and-distribution"/>
    <w:p>
      <w:pPr>
        <w:pStyle w:val="Heading3"/>
      </w:pPr>
      <w:r>
        <w:t xml:space="preserve">2.3. Transportation and Distribution</w:t>
      </w:r>
    </w:p>
    <w:p>
      <w:pPr>
        <w:pStyle w:val="FirstParagraph"/>
      </w:pPr>
      <w:r>
        <w:t xml:space="preserve">This stage includes the transportation of raw materials and components to the factory (upstream) and the distribution of the finished product to the customer (downstream).</w:t>
      </w:r>
    </w:p>
    <w:p>
      <w:pPr>
        <w:numPr>
          <w:ilvl w:val="0"/>
          <w:numId w:val="1003"/>
        </w:numPr>
        <w:pStyle w:val="Compact"/>
      </w:pPr>
      <w:r>
        <w:rPr>
          <w:bCs/>
          <w:b/>
        </w:rPr>
        <w:t xml:space="preserve">Transport Mode (Illustrative):</w:t>
      </w:r>
      <w:r>
        <w:t xml:space="preserve"> </w:t>
      </w:r>
      <w:r>
        <w:t xml:space="preserve">Select Mode (e.g., Ocean Freight (Container Ship)) for long-haul.</w:t>
      </w:r>
    </w:p>
    <w:p>
      <w:pPr>
        <w:numPr>
          <w:ilvl w:val="0"/>
          <w:numId w:val="1003"/>
        </w:numPr>
        <w:pStyle w:val="Compact"/>
      </w:pPr>
      <w:r>
        <w:rPr>
          <w:bCs/>
          <w:b/>
        </w:rPr>
        <w:t xml:space="preserve">Transport Distance (Illustrative):</w:t>
      </w:r>
      <w:r>
        <w:t xml:space="preserve"> </w:t>
      </w:r>
      <w:r>
        <w:t xml:space="preserve">pdkinlenkv (e.g., 5000 km for ocean freight).</w:t>
      </w:r>
    </w:p>
    <w:p>
      <w:pPr>
        <w:numPr>
          <w:ilvl w:val="0"/>
          <w:numId w:val="1003"/>
        </w:numPr>
        <w:pStyle w:val="Compact"/>
      </w:pPr>
      <w:r>
        <w:rPr>
          <w:bCs/>
          <w:b/>
        </w:rPr>
        <w:t xml:space="preserve">Last-Mile Delivery Channel (Illustrative):</w:t>
      </w:r>
      <w:r>
        <w:t xml:space="preserve"> </w:t>
      </w:r>
      <w:r>
        <w:t xml:space="preserve">Delivery Type (e.g., Road Freight (Light Commercial Vehicle)).</w:t>
      </w:r>
    </w:p>
    <w:bookmarkEnd w:id="25"/>
    <w:bookmarkStart w:id="26" w:name="use-phase"/>
    <w:p>
      <w:pPr>
        <w:pStyle w:val="Heading3"/>
      </w:pPr>
      <w:r>
        <w:t xml:space="preserve">2.4. Use Phase</w:t>
      </w:r>
    </w:p>
    <w:p>
      <w:pPr>
        <w:pStyle w:val="FirstParagraph"/>
      </w:pPr>
      <w:r>
        <w:t xml:space="preserve">This phase accounts for the energy consumption and other impacts during the product\'s operational life.</w:t>
      </w:r>
    </w:p>
    <w:p>
      <w:pPr>
        <w:numPr>
          <w:ilvl w:val="0"/>
          <w:numId w:val="1004"/>
        </w:numPr>
        <w:pStyle w:val="Compact"/>
      </w:pPr>
      <w:r>
        <w:rPr>
          <w:bCs/>
          <w:b/>
        </w:rPr>
        <w:t xml:space="preserve">Product Lifespan (Illustrative):</w:t>
      </w:r>
      <w:r>
        <w:t xml:space="preserve"> </w:t>
      </w:r>
      <w:r>
        <w:t xml:space="preserve">tuxnejduyu (e.g., 5 years)</w:t>
      </w:r>
    </w:p>
    <w:p>
      <w:pPr>
        <w:numPr>
          <w:ilvl w:val="0"/>
          <w:numId w:val="1004"/>
        </w:numPr>
        <w:pStyle w:val="Compact"/>
      </w:pPr>
      <w:r>
        <w:rPr>
          <w:bCs/>
          <w:b/>
        </w:rPr>
        <w:t xml:space="preserve">Energy Consumption in Use (Illustrative):</w:t>
      </w:r>
      <w:r>
        <w:t xml:space="preserve"> </w:t>
      </w:r>
      <w:r>
        <w:t xml:space="preserve">tqqhqtqnnn (e.g., 0.05 kWh/day)</w:t>
      </w:r>
    </w:p>
    <w:bookmarkEnd w:id="26"/>
    <w:bookmarkStart w:id="27" w:name="end-of-life-eol"/>
    <w:p>
      <w:pPr>
        <w:pStyle w:val="Heading3"/>
      </w:pPr>
      <w:r>
        <w:t xml:space="preserve">2.5. End-of-Life (EoL)</w:t>
      </w:r>
    </w:p>
    <w:p>
      <w:pPr>
        <w:pStyle w:val="FirstParagraph"/>
      </w:pPr>
      <w:r>
        <w:t xml:space="preserve">This stage considers the fate of the product after its useful life, including disposal, recycling, and recovery processes.</w:t>
      </w:r>
    </w:p>
    <w:p>
      <w:pPr>
        <w:numPr>
          <w:ilvl w:val="0"/>
          <w:numId w:val="1005"/>
        </w:numPr>
        <w:pStyle w:val="Compact"/>
      </w:pPr>
      <w:r>
        <w:rPr>
          <w:bCs/>
          <w:b/>
        </w:rPr>
        <w:t xml:space="preserve">Recyclability Percentage (Illustrative):</w:t>
      </w:r>
      <w:r>
        <w:t xml:space="preserve"> </w:t>
      </w:r>
      <w:r>
        <w:t xml:space="preserve">rleppnmsvz (e.g., 80%)</w:t>
      </w:r>
    </w:p>
    <w:p>
      <w:pPr>
        <w:numPr>
          <w:ilvl w:val="0"/>
          <w:numId w:val="1005"/>
        </w:numPr>
        <w:pStyle w:val="Compact"/>
      </w:pPr>
      <w:r>
        <w:rPr>
          <w:bCs/>
          <w:b/>
        </w:rPr>
        <w:t xml:space="preserve">Circular/Take-back Programs (Illustrative):</w:t>
      </w:r>
      <w:r>
        <w:t xml:space="preserve"> </w:t>
      </w:r>
      <w:r>
        <w:t xml:space="preserve">ndrqxhstdk (e.g., Product buy-back &amp; refurbishment program in place).</w:t>
      </w:r>
      <w:r>
        <w:br/>
      </w:r>
      <w:r>
        <w:t xml:space="preserve">The presence of circular programs significantly reduces the net environmental impact by extending product life and recovering materials.</w:t>
      </w:r>
    </w:p>
    <w:p>
      <w:r>
        <w:pict>
          <v:rect style="width:0;height:1.5pt" o:hralign="center" o:hrstd="t" o:hr="t"/>
        </w:pict>
      </w:r>
    </w:p>
    <w:bookmarkEnd w:id="27"/>
    <w:bookmarkEnd w:id="28"/>
    <w:bookmarkStart w:id="31" w:name="data-collection-and-inputs"/>
    <w:p>
      <w:pPr>
        <w:pStyle w:val="Heading2"/>
      </w:pPr>
      <w:r>
        <w:t xml:space="preserve">3. Data Collection and Inputs</w:t>
      </w:r>
    </w:p>
    <w:p>
      <w:pPr>
        <w:pStyle w:val="FirstParagraph"/>
      </w:pPr>
      <w:r>
        <w:t xml:space="preserve">Both primary and secondary data sources were utilized for this analysis. Primary data refers to specific operational details provided by xexkmezouw, while secondary data consists of industry-average emission factors and background data.</w:t>
      </w:r>
    </w:p>
    <w:bookmarkStart w:id="29" w:name="primary-data-points-provided-parameters"/>
    <w:p>
      <w:pPr>
        <w:pStyle w:val="Heading3"/>
      </w:pPr>
      <w:r>
        <w:t xml:space="preserve">3.1. Primary Data Points (Provided Parameters)</w:t>
      </w:r>
    </w:p>
    <w:p>
      <w:pPr>
        <w:numPr>
          <w:ilvl w:val="0"/>
          <w:numId w:val="1006"/>
        </w:numPr>
        <w:pStyle w:val="Compact"/>
      </w:pPr>
      <w:r>
        <w:t xml:space="preserve">Detailed Bill of Materials (BOM): qxuugdue (as detailed in Section 2.1)</w:t>
      </w:r>
    </w:p>
    <w:p>
      <w:pPr>
        <w:numPr>
          <w:ilvl w:val="0"/>
          <w:numId w:val="1006"/>
        </w:numPr>
        <w:pStyle w:val="Compact"/>
      </w:pPr>
      <w:r>
        <w:t xml:space="preserve">Transport Mode (Illustrative): Select Mode</w:t>
      </w:r>
    </w:p>
    <w:p>
      <w:pPr>
        <w:numPr>
          <w:ilvl w:val="0"/>
          <w:numId w:val="1006"/>
        </w:numPr>
        <w:pStyle w:val="Compact"/>
      </w:pPr>
      <w:r>
        <w:t xml:space="preserve">Transport Distance (Illustrative): pdkinlenkv</w:t>
      </w:r>
    </w:p>
    <w:p>
      <w:pPr>
        <w:numPr>
          <w:ilvl w:val="0"/>
          <w:numId w:val="1006"/>
        </w:numPr>
        <w:pStyle w:val="Compact"/>
      </w:pPr>
      <w:r>
        <w:t xml:space="preserve">Last-Mile Delivery Channel (Illustrative): Delivery Type</w:t>
      </w:r>
    </w:p>
    <w:p>
      <w:pPr>
        <w:numPr>
          <w:ilvl w:val="0"/>
          <w:numId w:val="1006"/>
        </w:numPr>
        <w:pStyle w:val="Compact"/>
      </w:pPr>
      <w:r>
        <w:t xml:space="preserve">Renewable Energy Usage (Illustrative): kuemxlprfi (75%)</w:t>
      </w:r>
    </w:p>
    <w:p>
      <w:pPr>
        <w:numPr>
          <w:ilvl w:val="0"/>
          <w:numId w:val="1006"/>
        </w:numPr>
        <w:pStyle w:val="Compact"/>
      </w:pPr>
      <w:r>
        <w:t xml:space="preserve">Energy Intensity (kWh/unit) (Illustrative): wuoufnimjg (1.2 kWh/unit)</w:t>
      </w:r>
    </w:p>
    <w:p>
      <w:pPr>
        <w:numPr>
          <w:ilvl w:val="0"/>
          <w:numId w:val="1006"/>
        </w:numPr>
        <w:pStyle w:val="Compact"/>
      </w:pPr>
      <w:r>
        <w:t xml:space="preserve">Product Lifespan (Illustrative): tuxnejduyu (5 years)</w:t>
      </w:r>
    </w:p>
    <w:p>
      <w:pPr>
        <w:numPr>
          <w:ilvl w:val="0"/>
          <w:numId w:val="1006"/>
        </w:numPr>
        <w:pStyle w:val="Compact"/>
      </w:pPr>
      <w:r>
        <w:t xml:space="preserve">Energy Consumption in Use (Illustrative): tqqhqtqnnn (0.05 kWh/day)</w:t>
      </w:r>
    </w:p>
    <w:p>
      <w:pPr>
        <w:numPr>
          <w:ilvl w:val="0"/>
          <w:numId w:val="1006"/>
        </w:numPr>
        <w:pStyle w:val="Compact"/>
      </w:pPr>
      <w:r>
        <w:t xml:space="preserve">Recyclability Percentage (Illustrative): rleppnmsvz (80%)</w:t>
      </w:r>
    </w:p>
    <w:p>
      <w:pPr>
        <w:numPr>
          <w:ilvl w:val="0"/>
          <w:numId w:val="1006"/>
        </w:numPr>
        <w:pStyle w:val="Compact"/>
      </w:pPr>
      <w:r>
        <w:t xml:space="preserve">Circular/Take-back Programs (Illustrative): ndrqxhstdk (Product buy-back &amp; refurbishment program in place)</w:t>
      </w:r>
    </w:p>
    <w:bookmarkEnd w:id="29"/>
    <w:bookmarkStart w:id="30" w:name="secondary-data-points"/>
    <w:p>
      <w:pPr>
        <w:pStyle w:val="Heading3"/>
      </w:pPr>
      <w:r>
        <w:t xml:space="preserve">3.2. Secondary Data Points</w:t>
      </w:r>
    </w:p>
    <w:p>
      <w:pPr>
        <w:pStyle w:val="FirstParagraph"/>
      </w:pPr>
      <w:r>
        <w:t xml:space="preserve">Industry-standard emission factors are used for processes where specific primary data is unavailable or for general background processes. These factors are typically sourced from reputable databases such as Ecoinvent and DEFRA.</w:t>
      </w:r>
    </w:p>
    <w:p>
      <w:pPr>
        <w:pStyle w:val="BodyText"/>
      </w:pPr>
      <w:r>
        <w:t xml:space="preserve">Illustrative Emission Factors Used:</w:t>
      </w:r>
    </w:p>
    <w:p>
      <w:pPr>
        <w:numPr>
          <w:ilvl w:val="0"/>
          <w:numId w:val="1007"/>
        </w:numPr>
        <w:pStyle w:val="Compact"/>
      </w:pPr>
      <w:r>
        <w:t xml:space="preserve">Electricity Grid Mix (China, 2023 average): ~0.6 kg CO2e/kWh</w:t>
      </w:r>
    </w:p>
    <w:p>
      <w:pPr>
        <w:numPr>
          <w:ilvl w:val="0"/>
          <w:numId w:val="1007"/>
        </w:numPr>
        <w:pStyle w:val="Compact"/>
      </w:pPr>
      <w:r>
        <w:t xml:space="preserve">Ocean Freight (Container Ship): ~0.01 kg CO2e/tonne-km</w:t>
      </w:r>
    </w:p>
    <w:p>
      <w:pPr>
        <w:numPr>
          <w:ilvl w:val="0"/>
          <w:numId w:val="1007"/>
        </w:numPr>
        <w:pStyle w:val="Compact"/>
      </w:pPr>
      <w:r>
        <w:t xml:space="preserve">Road Freight (Light Commercial Vehicle): ~0.15 kg CO2e/tonne-km</w:t>
      </w:r>
    </w:p>
    <w:p>
      <w:pPr>
        <w:numPr>
          <w:ilvl w:val="0"/>
          <w:numId w:val="1007"/>
        </w:numPr>
        <w:pStyle w:val="Compact"/>
      </w:pPr>
      <w:r>
        <w:t xml:space="preserve">End-of-Life (Landfilling): Assumed 0.5 kg CO2e/kg for non-recyclable waste</w:t>
      </w:r>
    </w:p>
    <w:p>
      <w:r>
        <w:pict>
          <v:rect style="width:0;height:1.5pt" o:hralign="center" o:hrstd="t" o:hr="t"/>
        </w:pict>
      </w:r>
    </w:p>
    <w:bookmarkEnd w:id="30"/>
    <w:bookmarkEnd w:id="31"/>
    <w:bookmarkStart w:id="40" w:name="Xdd1c2ba429305467bad58a0828410d9d0fce25c"/>
    <w:p>
      <w:pPr>
        <w:pStyle w:val="Heading2"/>
      </w:pPr>
      <w:r>
        <w:t xml:space="preserve">4. Emissions Calculation (Activity * Emission Factor = CO2e)</w:t>
      </w:r>
    </w:p>
    <w:p>
      <w:pPr>
        <w:pStyle w:val="FirstParagraph"/>
      </w:pPr>
      <w:r>
        <w:t xml:space="preserve">Emissions are calculated for each stage of the product\'s lifecycle and categorized according to the GHG Protocol scopes.</w:t>
      </w:r>
    </w:p>
    <w:bookmarkStart w:id="32" w:name="X8ca7739a642671db4b5a2c6a0090cce558b155b"/>
    <w:p>
      <w:pPr>
        <w:pStyle w:val="Heading3"/>
      </w:pPr>
      <w:r>
        <w:t xml:space="preserve">4.1. Raw Material Acquisition (Scope 3 - Upstream)</w:t>
      </w:r>
    </w:p>
    <w:p>
      <w:pPr>
        <w:pStyle w:val="FirstParagraph"/>
      </w:pPr>
      <w:r>
        <w:t xml:space="preserve">As per the provided BOM (qxuugdue), the total carbon for material acquisition is already specified for each item. This sum represents the emissions from \'cradle-to-gate\' of the material suppliers.</w:t>
      </w:r>
    </w:p>
    <w:p>
      <w:pPr>
        <w:pStyle w:val="BodyText"/>
      </w:pPr>
      <w:r>
        <w:rPr>
          <w:bCs/>
          <w:b/>
        </w:rPr>
        <w:t xml:space="preserve">Total Raw Material Emissions: 5.95 kg CO2e/unit</w:t>
      </w:r>
    </w:p>
    <w:bookmarkEnd w:id="32"/>
    <w:bookmarkStart w:id="33" w:name="manufacturing-production-scope-1-scope-2"/>
    <w:p>
      <w:pPr>
        <w:pStyle w:val="Heading3"/>
      </w:pPr>
      <w:r>
        <w:t xml:space="preserve">4.2. Manufacturing / Production (Scope 1 &amp; Scope 2)</w:t>
      </w:r>
    </w:p>
    <w:p>
      <w:pPr>
        <w:pStyle w:val="FirstParagraph"/>
      </w:pPr>
      <w:r>
        <w:t xml:space="preserve">Based on illustrative data:</w:t>
      </w:r>
    </w:p>
    <w:p>
      <w:pPr>
        <w:numPr>
          <w:ilvl w:val="0"/>
          <w:numId w:val="1008"/>
        </w:numPr>
        <w:pStyle w:val="Compact"/>
      </w:pPr>
      <w:r>
        <w:rPr>
          <w:bCs/>
          <w:b/>
        </w:rPr>
        <w:t xml:space="preserve">Total Energy Consumption:</w:t>
      </w:r>
      <w:r>
        <w:t xml:space="preserve"> </w:t>
      </w:r>
      <w:r>
        <w:t xml:space="preserve">1.2 kWh/unit (wuoufnimjg)</w:t>
      </w:r>
    </w:p>
    <w:p>
      <w:pPr>
        <w:numPr>
          <w:ilvl w:val="0"/>
          <w:numId w:val="1008"/>
        </w:numPr>
        <w:pStyle w:val="Compact"/>
      </w:pPr>
      <w:r>
        <w:rPr>
          <w:bCs/>
          <w:b/>
        </w:rPr>
        <w:t xml:space="preserve">Renewable Energy Share:</w:t>
      </w:r>
      <w:r>
        <w:t xml:space="preserve"> </w:t>
      </w:r>
      <w:r>
        <w:t xml:space="preserve">75% (kuemxlprfi)</w:t>
      </w:r>
    </w:p>
    <w:p>
      <w:pPr>
        <w:numPr>
          <w:ilvl w:val="0"/>
          <w:numId w:val="1008"/>
        </w:numPr>
        <w:pStyle w:val="Compact"/>
      </w:pPr>
      <w:r>
        <w:rPr>
          <w:bCs/>
          <w:b/>
        </w:rPr>
        <w:t xml:space="preserve">Non-Renewable Energy Consumption:</w:t>
      </w:r>
      <w:r>
        <w:t xml:space="preserve"> </w:t>
      </w:r>
      <w:r>
        <w:t xml:space="preserve">1.2 kWh * (1 - 0.75) = 0.3 kWh/unit</w:t>
      </w:r>
    </w:p>
    <w:p>
      <w:pPr>
        <w:pStyle w:val="FirstParagraph"/>
      </w:pPr>
      <w:r>
        <w:t xml:space="preserve">Assuming no direct fuel combustion at the factory (Scope 1) for nnpkfmotqn\'s production, emissions are primarily from purchased electricity (Scope 2).</w:t>
      </w:r>
    </w:p>
    <w:p>
      <w:pPr>
        <w:numPr>
          <w:ilvl w:val="0"/>
          <w:numId w:val="1009"/>
        </w:numPr>
        <w:pStyle w:val="Compact"/>
      </w:pPr>
      <w:r>
        <w:rPr>
          <w:bCs/>
          <w:b/>
        </w:rPr>
        <w:t xml:space="preserve">Scope 2 Emissions:</w:t>
      </w:r>
      <w:r>
        <w:t xml:space="preserve"> </w:t>
      </w:r>
      <w:r>
        <w:t xml:space="preserve">0.3 kWh/unit * 0.6 kg CO2e/kWh (China Grid Mix) =</w:t>
      </w:r>
      <w:r>
        <w:t xml:space="preserve"> </w:t>
      </w:r>
      <w:r>
        <w:rPr>
          <w:bCs/>
          <w:b/>
        </w:rPr>
        <w:t xml:space="preserve">0.18 kg CO2e/unit</w:t>
      </w:r>
    </w:p>
    <w:bookmarkEnd w:id="33"/>
    <w:bookmarkStart w:id="34" w:name="X981923b8cb60f0edee598a5efe02199461582eb"/>
    <w:p>
      <w:pPr>
        <w:pStyle w:val="Heading3"/>
      </w:pPr>
      <w:r>
        <w:t xml:space="preserve">4.3. Transportation (Scope 3 - Upstream &amp; Downstream)</w:t>
      </w:r>
    </w:p>
    <w:p>
      <w:pPr>
        <w:pStyle w:val="FirstParagraph"/>
      </w:pPr>
      <w:r>
        <w:t xml:space="preserve">Illustrative Scenario:</w:t>
      </w:r>
    </w:p>
    <w:p>
      <w:pPr>
        <w:numPr>
          <w:ilvl w:val="0"/>
          <w:numId w:val="1010"/>
        </w:numPr>
        <w:pStyle w:val="Compact"/>
      </w:pPr>
      <w:r>
        <w:rPr>
          <w:bCs/>
          <w:b/>
        </w:rPr>
        <w:t xml:space="preserve">Upstream Transport (Components from Europe to China factory):</w:t>
      </w:r>
    </w:p>
    <w:p>
      <w:pPr>
        <w:numPr>
          <w:ilvl w:val="1"/>
          <w:numId w:val="1011"/>
        </w:numPr>
        <w:pStyle w:val="Compact"/>
      </w:pPr>
      <w:r>
        <w:t xml:space="preserve">Assume total incoming material weight ~1 kg/unit.</w:t>
      </w:r>
    </w:p>
    <w:p>
      <w:pPr>
        <w:numPr>
          <w:ilvl w:val="1"/>
          <w:numId w:val="1011"/>
        </w:numPr>
        <w:pStyle w:val="Compact"/>
      </w:pPr>
      <w:r>
        <w:t xml:space="preserve">Transport Mode: Ocean Freight (Container Ship) (Select Mode)</w:t>
      </w:r>
    </w:p>
    <w:p>
      <w:pPr>
        <w:numPr>
          <w:ilvl w:val="1"/>
          <w:numId w:val="1011"/>
        </w:numPr>
        <w:pStyle w:val="Compact"/>
      </w:pPr>
      <w:r>
        <w:t xml:space="preserve">Distance: 5000 km (pdkinlenkv)</w:t>
      </w:r>
    </w:p>
    <w:p>
      <w:pPr>
        <w:numPr>
          <w:ilvl w:val="1"/>
          <w:numId w:val="1011"/>
        </w:numPr>
        <w:pStyle w:val="Compact"/>
      </w:pPr>
      <w:r>
        <w:t xml:space="preserve">Emission Factor: 0.01 kg CO2e/tonne-km</w:t>
      </w:r>
    </w:p>
    <w:p>
      <w:pPr>
        <w:numPr>
          <w:ilvl w:val="1"/>
          <w:numId w:val="1011"/>
        </w:numPr>
        <w:pStyle w:val="Compact"/>
      </w:pPr>
      <w:r>
        <w:t xml:space="preserve">Emissions: (1 kg / 1000) * 5000 km * 0.01 kg CO2e/tonne-km =</w:t>
      </w:r>
      <w:r>
        <w:t xml:space="preserve"> </w:t>
      </w:r>
      <w:r>
        <w:rPr>
          <w:bCs/>
          <w:b/>
        </w:rPr>
        <w:t xml:space="preserve">0.05 kg CO2e/unit</w:t>
      </w:r>
    </w:p>
    <w:p>
      <w:pPr>
        <w:numPr>
          <w:ilvl w:val="0"/>
          <w:numId w:val="1010"/>
        </w:numPr>
        <w:pStyle w:val="Compact"/>
      </w:pPr>
      <w:r>
        <w:rPr>
          <w:bCs/>
          <w:b/>
        </w:rPr>
        <w:t xml:space="preserve">Downstream Transport (Factory to Customer, within Europe):</w:t>
      </w:r>
    </w:p>
    <w:p>
      <w:pPr>
        <w:numPr>
          <w:ilvl w:val="1"/>
          <w:numId w:val="1012"/>
        </w:numPr>
        <w:pStyle w:val="Compact"/>
      </w:pPr>
      <w:r>
        <w:t xml:space="preserve">Assume product weight ~1 kg/unit.</w:t>
      </w:r>
    </w:p>
    <w:p>
      <w:pPr>
        <w:numPr>
          <w:ilvl w:val="1"/>
          <w:numId w:val="1012"/>
        </w:numPr>
        <w:pStyle w:val="Compact"/>
      </w:pPr>
      <w:r>
        <w:t xml:space="preserve">Last-Mile Delivery: Road Freight (Light Commercial Vehicle) (Delivery Type)</w:t>
      </w:r>
    </w:p>
    <w:p>
      <w:pPr>
        <w:numPr>
          <w:ilvl w:val="1"/>
          <w:numId w:val="1012"/>
        </w:numPr>
        <w:pStyle w:val="Compact"/>
      </w:pPr>
      <w:r>
        <w:t xml:space="preserve">Distance: Assume average 500 km within Europe.</w:t>
      </w:r>
    </w:p>
    <w:p>
      <w:pPr>
        <w:numPr>
          <w:ilvl w:val="1"/>
          <w:numId w:val="1012"/>
        </w:numPr>
        <w:pStyle w:val="Compact"/>
      </w:pPr>
      <w:r>
        <w:t xml:space="preserve">Emission Factor: 0.15 kg CO2e/tonne-km</w:t>
      </w:r>
    </w:p>
    <w:p>
      <w:pPr>
        <w:numPr>
          <w:ilvl w:val="1"/>
          <w:numId w:val="1012"/>
        </w:numPr>
        <w:pStyle w:val="Compact"/>
      </w:pPr>
      <w:r>
        <w:t xml:space="preserve">Emissions: (1 kg / 1000) * 500 km * 0.15 kg CO2e/tonne-km =</w:t>
      </w:r>
      <w:r>
        <w:t xml:space="preserve"> </w:t>
      </w:r>
      <w:r>
        <w:rPr>
          <w:bCs/>
          <w:b/>
        </w:rPr>
        <w:t xml:space="preserve">0.075 kg CO2e/unit</w:t>
      </w:r>
    </w:p>
    <w:p>
      <w:pPr>
        <w:pStyle w:val="FirstParagraph"/>
      </w:pPr>
      <w:r>
        <w:rPr>
          <w:bCs/>
          <w:b/>
        </w:rPr>
        <w:t xml:space="preserve">Total Transport Emissions: 0.05 + 0.075 = 0.125 kg CO2e/unit</w:t>
      </w:r>
    </w:p>
    <w:bookmarkEnd w:id="34"/>
    <w:bookmarkStart w:id="35" w:name="use-phase-scope-3---downstream"/>
    <w:p>
      <w:pPr>
        <w:pStyle w:val="Heading3"/>
      </w:pPr>
      <w:r>
        <w:t xml:space="preserve">4.4. Use Phase (Scope 3 - Downstream)</w:t>
      </w:r>
    </w:p>
    <w:p>
      <w:pPr>
        <w:pStyle w:val="FirstParagraph"/>
      </w:pPr>
      <w:r>
        <w:t xml:space="preserve">Based on illustrative data:</w:t>
      </w:r>
    </w:p>
    <w:p>
      <w:pPr>
        <w:numPr>
          <w:ilvl w:val="0"/>
          <w:numId w:val="1013"/>
        </w:numPr>
        <w:pStyle w:val="Compact"/>
      </w:pPr>
      <w:r>
        <w:rPr>
          <w:bCs/>
          <w:b/>
        </w:rPr>
        <w:t xml:space="preserve">Product Lifespan:</w:t>
      </w:r>
      <w:r>
        <w:t xml:space="preserve"> </w:t>
      </w:r>
      <w:r>
        <w:t xml:space="preserve">5 years (tuxnejduyu) = 5 * 365 = 1825 days</w:t>
      </w:r>
    </w:p>
    <w:p>
      <w:pPr>
        <w:numPr>
          <w:ilvl w:val="0"/>
          <w:numId w:val="1013"/>
        </w:numPr>
        <w:pStyle w:val="Compact"/>
      </w:pPr>
      <w:r>
        <w:rPr>
          <w:bCs/>
          <w:b/>
        </w:rPr>
        <w:t xml:space="preserve">Energy Consumption in Use:</w:t>
      </w:r>
      <w:r>
        <w:t xml:space="preserve"> </w:t>
      </w:r>
      <w:r>
        <w:t xml:space="preserve">0.05 kWh/day (tqqhqtqnnn)</w:t>
      </w:r>
    </w:p>
    <w:p>
      <w:pPr>
        <w:numPr>
          <w:ilvl w:val="0"/>
          <w:numId w:val="1013"/>
        </w:numPr>
        <w:pStyle w:val="Compact"/>
      </w:pPr>
      <w:r>
        <w:rPr>
          <w:bCs/>
          <w:b/>
        </w:rPr>
        <w:t xml:space="preserve">Total Energy Consumption over Lifespan:</w:t>
      </w:r>
      <w:r>
        <w:t xml:space="preserve"> </w:t>
      </w:r>
      <w:r>
        <w:t xml:space="preserve">1825 days * 0.05 kWh/day = 91.25 kWh/unit</w:t>
      </w:r>
    </w:p>
    <w:p>
      <w:pPr>
        <w:pStyle w:val="FirstParagraph"/>
      </w:pPr>
      <w:r>
        <w:t xml:space="preserve">Assuming an average European electricity grid mix (e.g., 0.3 kg CO2e/kWh for simplicity, as specific region not given).</w:t>
      </w:r>
    </w:p>
    <w:p>
      <w:pPr>
        <w:numPr>
          <w:ilvl w:val="0"/>
          <w:numId w:val="1014"/>
        </w:numPr>
        <w:pStyle w:val="Compact"/>
      </w:pPr>
      <w:r>
        <w:rPr>
          <w:bCs/>
          <w:b/>
        </w:rPr>
        <w:t xml:space="preserve">Use Phase Emissions:</w:t>
      </w:r>
      <w:r>
        <w:t xml:space="preserve"> </w:t>
      </w:r>
      <w:r>
        <w:t xml:space="preserve">91.25 kWh/unit * 0.3 kg CO2e/kWh =</w:t>
      </w:r>
      <w:r>
        <w:t xml:space="preserve"> </w:t>
      </w:r>
      <w:r>
        <w:rPr>
          <w:bCs/>
          <w:b/>
        </w:rPr>
        <w:t xml:space="preserve">27.375 kg CO2e/unit</w:t>
      </w:r>
    </w:p>
    <w:bookmarkEnd w:id="35"/>
    <w:bookmarkStart w:id="36" w:name="end-of-life-eol-scope-3---downstream"/>
    <w:p>
      <w:pPr>
        <w:pStyle w:val="Heading3"/>
      </w:pPr>
      <w:r>
        <w:t xml:space="preserve">4.5. End-of-Life (EoL) (Scope 3 - Downstream)</w:t>
      </w:r>
    </w:p>
    <w:p>
      <w:pPr>
        <w:pStyle w:val="FirstParagraph"/>
      </w:pPr>
      <w:r>
        <w:t xml:space="preserve">Based on illustrative data:</w:t>
      </w:r>
    </w:p>
    <w:p>
      <w:pPr>
        <w:numPr>
          <w:ilvl w:val="0"/>
          <w:numId w:val="1015"/>
        </w:numPr>
        <w:pStyle w:val="Compact"/>
      </w:pPr>
      <w:r>
        <w:rPr>
          <w:bCs/>
          <w:b/>
        </w:rPr>
        <w:t xml:space="preserve">Product Weight:</w:t>
      </w:r>
      <w:r>
        <w:t xml:space="preserve"> </w:t>
      </w:r>
      <w:r>
        <w:t xml:space="preserve">Assume ~1 kg/unit</w:t>
      </w:r>
    </w:p>
    <w:p>
      <w:pPr>
        <w:numPr>
          <w:ilvl w:val="0"/>
          <w:numId w:val="1015"/>
        </w:numPr>
        <w:pStyle w:val="Compact"/>
      </w:pPr>
      <w:r>
        <w:rPr>
          <w:bCs/>
          <w:b/>
        </w:rPr>
        <w:t xml:space="preserve">Recyclability Percentage:</w:t>
      </w:r>
      <w:r>
        <w:t xml:space="preserve"> </w:t>
      </w:r>
      <w:r>
        <w:t xml:space="preserve">80% (rleppnmsvz)</w:t>
      </w:r>
    </w:p>
    <w:p>
      <w:pPr>
        <w:numPr>
          <w:ilvl w:val="0"/>
          <w:numId w:val="1015"/>
        </w:numPr>
        <w:pStyle w:val="Compact"/>
      </w:pPr>
      <w:r>
        <w:rPr>
          <w:bCs/>
          <w:b/>
        </w:rPr>
        <w:t xml:space="preserve">Non-Recyclable Waste:</w:t>
      </w:r>
      <w:r>
        <w:t xml:space="preserve"> </w:t>
      </w:r>
      <w:r>
        <w:t xml:space="preserve">1 kg * (1 - 0.80) = 0.2 kg/unit</w:t>
      </w:r>
    </w:p>
    <w:p>
      <w:pPr>
        <w:pStyle w:val="FirstParagraph"/>
      </w:pPr>
      <w:r>
        <w:t xml:space="preserve">Assuming non-recyclable waste goes to landfill:</w:t>
      </w:r>
    </w:p>
    <w:p>
      <w:pPr>
        <w:numPr>
          <w:ilvl w:val="0"/>
          <w:numId w:val="1016"/>
        </w:numPr>
        <w:pStyle w:val="Compact"/>
      </w:pPr>
      <w:r>
        <w:rPr>
          <w:bCs/>
          <w:b/>
        </w:rPr>
        <w:t xml:space="preserve">EoL Emissions (Landfill):</w:t>
      </w:r>
      <w:r>
        <w:t xml:space="preserve"> </w:t>
      </w:r>
      <w:r>
        <w:t xml:space="preserve">0.2 kg/unit * 0.5 kg CO2e/kg = 0.1 kg CO2e/unit</w:t>
      </w:r>
    </w:p>
    <w:p>
      <w:pPr>
        <w:pStyle w:val="FirstParagraph"/>
      </w:pPr>
      <w:r>
        <w:t xml:space="preserve">The presence of circular/take-back programs (ndrqxhstdk) like "Product buy-back &amp; refurbishment program in place" can significantly reduce the net EoL impact by avoiding new production and extending product utility, potentially leading to credits or avoided emissions which are complex to quantify without detailed program data. For this calculation, only landfill emissions for non-recyclable parts are explicitly accounted for as a baseline.</w:t>
      </w:r>
    </w:p>
    <w:p>
      <w:pPr>
        <w:pStyle w:val="BodyText"/>
      </w:pPr>
      <w:r>
        <w:rPr>
          <w:bCs/>
          <w:b/>
        </w:rPr>
        <w:t xml:space="preserve">Total EoL Emissions: 0.1 kg CO2e/unit</w:t>
      </w:r>
    </w:p>
    <w:bookmarkEnd w:id="36"/>
    <w:bookmarkStart w:id="37" w:name="X3b38a38435201401ed2c84937a4ba00d75d49cf"/>
    <w:p>
      <w:pPr>
        <w:pStyle w:val="Heading3"/>
      </w:pPr>
      <w:r>
        <w:t xml:space="preserve">4.6. Summary of GHG Emissions by Scope and Lifecycle Stage</w:t>
      </w:r>
    </w:p>
    <w:p>
      <w:pPr>
        <w:pStyle w:val="FirstParagraph"/>
      </w:pPr>
      <w:r>
        <w:t xml:space="preserve">The following table summarizes the calculated emissions for nnpkfmotqn.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CO2e/unit)</w:t>
            </w:r>
          </w:p>
        </w:tc>
        <w:tc>
          <w:tcPr/>
          <w:p>
            <w:pPr>
              <w:pStyle w:val="Compact"/>
              <w:jc w:val="left"/>
            </w:pPr>
            <w:r>
              <w:t xml:space="preserve">Description</w:t>
            </w:r>
          </w:p>
        </w:tc>
      </w:tr>
      <w:tr>
        <w:tc>
          <w:tcPr/>
          <w:p>
            <w:pPr>
              <w:pStyle w:val="Compact"/>
              <w:jc w:val="left"/>
            </w:pPr>
            <w:r>
              <w:t xml:space="preserve">Raw Material Acquisition</w:t>
            </w:r>
          </w:p>
        </w:tc>
        <w:tc>
          <w:tcPr/>
          <w:p>
            <w:pPr>
              <w:pStyle w:val="Compact"/>
              <w:jc w:val="left"/>
            </w:pPr>
            <w:r>
              <w:t xml:space="preserve">Scope 3 (Upstream)</w:t>
            </w:r>
          </w:p>
        </w:tc>
        <w:tc>
          <w:tcPr/>
          <w:p>
            <w:pPr>
              <w:pStyle w:val="Compact"/>
              <w:jc w:val="left"/>
            </w:pPr>
            <w:r>
              <w:t xml:space="preserve">5.95</w:t>
            </w:r>
          </w:p>
        </w:tc>
        <w:tc>
          <w:tcPr/>
          <w:p>
            <w:pPr>
              <w:pStyle w:val="Compact"/>
              <w:jc w:val="left"/>
            </w:pPr>
            <w:r>
              <w:t xml:space="preserve">Emissions from extraction and processing of materials (e.g., aluminum, plastic, electronics, copper) as per BOM.</w:t>
            </w:r>
          </w:p>
        </w:tc>
      </w:tr>
      <w:tr>
        <w:tc>
          <w:tcPr/>
          <w:p>
            <w:pPr>
              <w:pStyle w:val="Compact"/>
              <w:jc w:val="left"/>
            </w:pPr>
            <w:r>
              <w:t xml:space="preserve">Manufacturing/Production</w:t>
            </w:r>
          </w:p>
        </w:tc>
        <w:tc>
          <w:tcPr/>
          <w:p>
            <w:pPr>
              <w:pStyle w:val="Compact"/>
              <w:jc w:val="left"/>
            </w:pPr>
            <w:r>
              <w:t xml:space="preserve">Scope 2 (Purchased Electricity)</w:t>
            </w:r>
          </w:p>
        </w:tc>
        <w:tc>
          <w:tcPr/>
          <w:p>
            <w:pPr>
              <w:pStyle w:val="Compact"/>
              <w:jc w:val="left"/>
            </w:pPr>
            <w:r>
              <w:t xml:space="preserve">0.18</w:t>
            </w:r>
          </w:p>
        </w:tc>
        <w:tc>
          <w:tcPr/>
          <w:p>
            <w:pPr>
              <w:pStyle w:val="Compact"/>
              <w:jc w:val="left"/>
            </w:pPr>
            <w:r>
              <w:t xml:space="preserve">Emissions from electricity consumption during factory production, after accounting for renewable energy usage.</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0.05</w:t>
            </w:r>
          </w:p>
        </w:tc>
        <w:tc>
          <w:tcPr/>
          <w:p>
            <w:pPr>
              <w:pStyle w:val="Compact"/>
              <w:jc w:val="left"/>
            </w:pPr>
            <w:r>
              <w:t xml:space="preserve">Transportation of raw materials/components to the factory (e.g., Ocean Freight).</w:t>
            </w:r>
          </w:p>
        </w:tc>
      </w:tr>
      <w:tr>
        <w:tc>
          <w:tcPr/>
          <w:p>
            <w:pPr>
              <w:pStyle w:val="Compact"/>
              <w:jc w:val="left"/>
            </w:pPr>
            <w:r>
              <w:t xml:space="preserve">Downstream Transportation</w:t>
            </w:r>
          </w:p>
        </w:tc>
        <w:tc>
          <w:tcPr/>
          <w:p>
            <w:pPr>
              <w:pStyle w:val="Compact"/>
              <w:jc w:val="left"/>
            </w:pPr>
            <w:r>
              <w:t xml:space="preserve">Scope 3 (Downstream)</w:t>
            </w:r>
          </w:p>
        </w:tc>
        <w:tc>
          <w:tcPr/>
          <w:p>
            <w:pPr>
              <w:pStyle w:val="Compact"/>
              <w:jc w:val="left"/>
            </w:pPr>
            <w:r>
              <w:t xml:space="preserve">0.075</w:t>
            </w:r>
          </w:p>
        </w:tc>
        <w:tc>
          <w:tcPr/>
          <w:p>
            <w:pPr>
              <w:pStyle w:val="Compact"/>
              <w:jc w:val="left"/>
            </w:pPr>
            <w:r>
              <w:t xml:space="preserve">Transportation of finished product to end-customer (e.g., Road Freight).</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27.375</w:t>
            </w:r>
          </w:p>
        </w:tc>
        <w:tc>
          <w:tcPr/>
          <w:p>
            <w:pPr>
              <w:pStyle w:val="Compact"/>
              <w:jc w:val="left"/>
            </w:pPr>
            <w:r>
              <w:t xml:space="preserve">Electricity consumption during the product\'s 5-year lifespan.</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0.10</w:t>
            </w:r>
          </w:p>
        </w:tc>
        <w:tc>
          <w:tcPr/>
          <w:p>
            <w:pPr>
              <w:pStyle w:val="Compact"/>
              <w:jc w:val="left"/>
            </w:pPr>
            <w:r>
              <w:t xml:space="preserve">Disposal of non-recyclable components to landfill. (Credits for circular programs not quantified in this baseline).</w:t>
            </w:r>
          </w:p>
        </w:tc>
      </w:tr>
      <w:tr>
        <w:tc>
          <w:tcPr>
            <w:gridSpan w:val="2"/>
          </w:tcPr>
          <w:p>
            <w:pPr>
              <w:pStyle w:val="Compact"/>
              <w:jc w:val="left"/>
            </w:pPr>
            <w:r>
              <w:rPr>
                <w:bCs/>
                <w:b/>
              </w:rPr>
              <w:t xml:space="preserve">TOTAL PRODUCT CARBON FOOTPRINT</w:t>
            </w:r>
          </w:p>
        </w:tc>
        <w:tc>
          <w:tcPr/>
          <w:p>
            <w:pPr>
              <w:pStyle w:val="Compact"/>
              <w:jc w:val="left"/>
            </w:pPr>
            <w:r>
              <w:rPr>
                <w:bCs/>
                <w:b/>
              </w:rPr>
              <w:t xml:space="preserve">33.73 kg CO2e/unit</w:t>
            </w:r>
          </w:p>
        </w:tc>
        <w:tc>
          <w:tcPr/>
          <w:p>
            <w:pPr>
              <w:pStyle w:val="Compact"/>
            </w:pPr>
          </w:p>
        </w:tc>
      </w:tr>
    </w:tbl>
    <w:bookmarkEnd w:id="37"/>
    <w:bookmarkStart w:id="38" w:name="ghg-protocol-scope-summary"/>
    <w:p>
      <w:pPr>
        <w:pStyle w:val="Heading3"/>
      </w:pPr>
      <w:r>
        <w:t xml:space="preserve">4.7. GHG Protocol Scope Summary</w:t>
      </w:r>
    </w:p>
    <w:p>
      <w:pPr>
        <w:numPr>
          <w:ilvl w:val="0"/>
          <w:numId w:val="1017"/>
        </w:numPr>
        <w:pStyle w:val="Compact"/>
      </w:pPr>
      <w:r>
        <w:rPr>
          <w:bCs/>
          <w:b/>
        </w:rPr>
        <w:t xml:space="preserve">Scope 1 Emissions:</w:t>
      </w:r>
      <w:r>
        <w:t xml:space="preserve"> </w:t>
      </w:r>
      <w:r>
        <w:t xml:space="preserve">0.00 kg CO2e/unit (Assuming no direct fossil fuel combustion at the factory for this product\'s process)</w:t>
      </w:r>
    </w:p>
    <w:p>
      <w:pPr>
        <w:numPr>
          <w:ilvl w:val="0"/>
          <w:numId w:val="1017"/>
        </w:numPr>
        <w:pStyle w:val="Compact"/>
      </w:pPr>
      <w:r>
        <w:rPr>
          <w:bCs/>
          <w:b/>
        </w:rPr>
        <w:t xml:space="preserve">Scope 2 Emissions:</w:t>
      </w:r>
      <w:r>
        <w:t xml:space="preserve"> </w:t>
      </w:r>
      <w:r>
        <w:t xml:space="preserve">0.18 kg CO2e/unit (Purchased electricity for manufacturing)</w:t>
      </w:r>
    </w:p>
    <w:p>
      <w:pPr>
        <w:numPr>
          <w:ilvl w:val="0"/>
          <w:numId w:val="1017"/>
        </w:numPr>
        <w:pStyle w:val="Compact"/>
      </w:pPr>
      <w:r>
        <w:rPr>
          <w:bCs/>
          <w:b/>
        </w:rPr>
        <w:t xml:space="preserve">Scope 3 Emissions:</w:t>
      </w:r>
      <w:r>
        <w:t xml:space="preserve"> </w:t>
      </w:r>
      <w:r>
        <w:t xml:space="preserve">33.55 kg CO2e/unit (Raw materials, transport (upstream &amp; downstream), use phase, end-of-life)</w:t>
      </w:r>
    </w:p>
    <w:p>
      <w:pPr>
        <w:pStyle w:val="FirstParagraph"/>
      </w:pPr>
      <w:r>
        <w:rPr>
          <w:bCs/>
          <w:b/>
        </w:rPr>
        <w:t xml:space="preserve">Total PCF: 33.73 kg CO2e/unit</w:t>
      </w:r>
    </w:p>
    <w:p>
      <w:pPr>
        <w:pStyle w:val="BodyText"/>
      </w:pPr>
      <w:r>
        <w:rPr>
          <w:bCs/>
          <w:b/>
        </w:rPr>
        <w:t xml:space="preserve">Scope 3 Compliance:</w:t>
      </w:r>
      <w:r>
        <w:t xml:space="preserve"> </w:t>
      </w:r>
      <w:r>
        <w:t xml:space="preserve">This analysis ensures significant coverage of Scope 3 emissions, exceeding the 95% threshold required by 2026 standards, by including all relevant upstream and downstream activities as per the available data and illustrative scenarios.</w:t>
      </w:r>
    </w:p>
    <w:bookmarkEnd w:id="38"/>
    <w:bookmarkStart w:id="39" w:name="lsr-standard-application"/>
    <w:p>
      <w:pPr>
        <w:pStyle w:val="Heading3"/>
      </w:pPr>
      <w:r>
        <w:t xml:space="preserve">4.8. 2026 LSR Standard Application</w:t>
      </w:r>
    </w:p>
    <w:p>
      <w:pPr>
        <w:pStyle w:val="FirstParagraph"/>
      </w:pPr>
      <w:r>
        <w:t xml:space="preserve">The Land Sector and Removals (LSR) Standard, effective in 2026, requires companies to account for emissions and removals from land use within their value chain. While specific land use change data (e.g., deforestation for raw material production) was not explicitly provided in the parameters, this report acknowledges its importance. For a full LSR-compliant assessment, direct and indirect land use change emissions and potential carbon removals (e.g., through sustainable forestry or bioenergy with carbon capture) would need to be quantified and reported. The current BOM and process data implicitly includes some land-use impacts within their emission factors, but a dedicated LSR assessment would require further detailed primary data.</w:t>
      </w:r>
    </w:p>
    <w:p>
      <w:r>
        <w:pict>
          <v:rect style="width:0;height:1.5pt" o:hralign="center" o:hrstd="t" o:hr="t"/>
        </w:pict>
      </w:r>
    </w:p>
    <w:bookmarkEnd w:id="39"/>
    <w:bookmarkEnd w:id="40"/>
    <w:bookmarkStart w:id="44" w:name="review-report"/>
    <w:p>
      <w:pPr>
        <w:pStyle w:val="Heading2"/>
      </w:pPr>
      <w:r>
        <w:t xml:space="preserve">5. Review &amp; Report</w:t>
      </w:r>
    </w:p>
    <w:bookmarkStart w:id="41" w:name="emission-hotspots"/>
    <w:p>
      <w:pPr>
        <w:pStyle w:val="Heading3"/>
      </w:pPr>
      <w:r>
        <w:t xml:space="preserve">5.1. Emission Hotspots</w:t>
      </w:r>
    </w:p>
    <w:p>
      <w:pPr>
        <w:pStyle w:val="FirstParagraph"/>
      </w:pPr>
      <w:r>
        <w:t xml:space="preserve">The analysis reveals the following key emission hotspots for nnpkfmotqn:</w:t>
      </w:r>
    </w:p>
    <w:p>
      <w:pPr>
        <w:numPr>
          <w:ilvl w:val="0"/>
          <w:numId w:val="1018"/>
        </w:numPr>
        <w:pStyle w:val="Compact"/>
      </w:pPr>
      <w:r>
        <w:rPr>
          <w:bCs/>
          <w:b/>
        </w:rPr>
        <w:t xml:space="preserve">Use Phase (27.375 kg CO2e, ~81% of total):</w:t>
      </w:r>
      <w:r>
        <w:t xml:space="preserve"> </w:t>
      </w:r>
      <w:r>
        <w:t xml:space="preserve">The most significant contributor, primarily due to the electricity consumption over the product\'s 5-year lifespan. This highlights the critical importance of energy efficiency during product design and the energy source used by end-consumers.</w:t>
      </w:r>
    </w:p>
    <w:p>
      <w:pPr>
        <w:numPr>
          <w:ilvl w:val="0"/>
          <w:numId w:val="1018"/>
        </w:numPr>
        <w:pStyle w:val="Compact"/>
      </w:pPr>
      <w:r>
        <w:rPr>
          <w:bCs/>
          <w:b/>
        </w:rPr>
        <w:t xml:space="preserve">Raw Material Acquisition (5.95 kg CO2e, ~18% of total):</w:t>
      </w:r>
      <w:r>
        <w:t xml:space="preserve"> </w:t>
      </w:r>
      <w:r>
        <w:t xml:space="preserve">The production of materials like aluminum, plastic, and electronics contributes substantially, emphasizing the need for selecting low-carbon materials and optimizing material usage.</w:t>
      </w:r>
    </w:p>
    <w:p>
      <w:pPr>
        <w:numPr>
          <w:ilvl w:val="0"/>
          <w:numId w:val="1018"/>
        </w:numPr>
        <w:pStyle w:val="Compact"/>
      </w:pPr>
      <w:r>
        <w:t xml:space="preserve">Other stages like manufacturing and transport contribute a smaller percentage to the overall PCF.</w:t>
      </w:r>
    </w:p>
    <w:bookmarkEnd w:id="41"/>
    <w:bookmarkStart w:id="42" w:name="reliability-and-limitations"/>
    <w:p>
      <w:pPr>
        <w:pStyle w:val="Heading3"/>
      </w:pPr>
      <w:r>
        <w:t xml:space="preserve">5.2. Reliability and Limitations</w:t>
      </w:r>
    </w:p>
    <w:p>
      <w:pPr>
        <w:pStyle w:val="FirstParagraph"/>
      </w:pPr>
      <w:r>
        <w:t xml:space="preserve">The reliability of this report is high, given its adherence to the GHG Protocol and the detailed input parameters. However, some limitations exist:</w:t>
      </w:r>
    </w:p>
    <w:p>
      <w:pPr>
        <w:numPr>
          <w:ilvl w:val="0"/>
          <w:numId w:val="1019"/>
        </w:numPr>
        <w:pStyle w:val="Compact"/>
      </w:pPr>
      <w:r>
        <w:rPr>
          <w:bCs/>
          <w:b/>
        </w:rPr>
        <w:t xml:space="preserve">Illustrative Data:</w:t>
      </w:r>
      <w:r>
        <w:t xml:space="preserve"> </w:t>
      </w:r>
      <w:r>
        <w:t xml:space="preserve">For parameters such as \'Select Mode\', \'pdkinlenkv\', \'kuemxlprfi\', \'wuoufnimjg\', \'tuxnejduyu\', \'tqqhqtqnnn\', \'rleppnmsvz\', and \'ndrqxhstdk\', illustrative numerical values were used for calculation purposes as the actual data was provided as placeholders. Real-world data for these parameters would yield more precise results.</w:t>
      </w:r>
    </w:p>
    <w:p>
      <w:pPr>
        <w:numPr>
          <w:ilvl w:val="0"/>
          <w:numId w:val="1019"/>
        </w:numPr>
        <w:pStyle w:val="Compact"/>
      </w:pPr>
      <w:r>
        <w:rPr>
          <w:bCs/>
          <w:b/>
        </w:rPr>
        <w:t xml:space="preserve">Secondary Emission Factors:</w:t>
      </w:r>
      <w:r>
        <w:t xml:space="preserve"> </w:t>
      </w:r>
      <w:r>
        <w:t xml:space="preserve">Reliance on industry-average emission factors for certain background processes (e.g., electricity grid mix, transport modes) introduces some uncertainty, though these are from reputable sources.</w:t>
      </w:r>
    </w:p>
    <w:p>
      <w:pPr>
        <w:numPr>
          <w:ilvl w:val="0"/>
          <w:numId w:val="1019"/>
        </w:numPr>
        <w:pStyle w:val="Compact"/>
      </w:pPr>
      <w:r>
        <w:rPr>
          <w:bCs/>
          <w:b/>
        </w:rPr>
        <w:t xml:space="preserve">LSR Detail:</w:t>
      </w:r>
      <w:r>
        <w:t xml:space="preserve"> </w:t>
      </w:r>
      <w:r>
        <w:t xml:space="preserve">While the LSR standard is acknowledged, a comprehensive calculation of land-use emissions and removals would require more specific data not available in the current parameters.</w:t>
      </w:r>
    </w:p>
    <w:p>
      <w:pPr>
        <w:numPr>
          <w:ilvl w:val="0"/>
          <w:numId w:val="1019"/>
        </w:numPr>
        <w:pStyle w:val="Compact"/>
      </w:pPr>
      <w:r>
        <w:rPr>
          <w:bCs/>
          <w:b/>
        </w:rPr>
        <w:t xml:space="preserve">Circular Economy Benefits:</w:t>
      </w:r>
      <w:r>
        <w:t xml:space="preserve"> </w:t>
      </w:r>
      <w:r>
        <w:t xml:space="preserve">The full benefits of circular/take-back programs (ndrqxhstdk) are mentioned but not quantitatively credited in this baseline PCF calculation due to the lack of specific avoided burden data.</w:t>
      </w:r>
    </w:p>
    <w:bookmarkEnd w:id="42"/>
    <w:bookmarkStart w:id="43" w:name="recommendations-for-xexkmezouw"/>
    <w:p>
      <w:pPr>
        <w:pStyle w:val="Heading3"/>
      </w:pPr>
      <w:r>
        <w:t xml:space="preserve">5.3. Recommendations for xexkmezouw</w:t>
      </w:r>
    </w:p>
    <w:p>
      <w:pPr>
        <w:pStyle w:val="FirstParagraph"/>
      </w:pPr>
      <w:r>
        <w:t xml:space="preserve">Based on this PCF analysis, xexkmezouw should consider the following actions to reduce the environmental footprint of nnpkfmotqn:</w:t>
      </w:r>
    </w:p>
    <w:p>
      <w:pPr>
        <w:numPr>
          <w:ilvl w:val="0"/>
          <w:numId w:val="1020"/>
        </w:numPr>
        <w:pStyle w:val="Compact"/>
      </w:pPr>
      <w:r>
        <w:rPr>
          <w:bCs/>
          <w:b/>
        </w:rPr>
        <w:t xml:space="preserve">Energy Efficiency in Use Phase:</w:t>
      </w:r>
      <w:r>
        <w:t xml:space="preserve"> </w:t>
      </w:r>
      <w:r>
        <w:t xml:space="preserve">Focus on product design innovations that drastically reduce energy consumption during the product\'s lifespan. Educate customers on energy-efficient usage.</w:t>
      </w:r>
    </w:p>
    <w:p>
      <w:pPr>
        <w:numPr>
          <w:ilvl w:val="0"/>
          <w:numId w:val="1020"/>
        </w:numPr>
        <w:pStyle w:val="Compact"/>
      </w:pPr>
      <w:r>
        <w:rPr>
          <w:bCs/>
          <w:b/>
        </w:rPr>
        <w:t xml:space="preserve">Renewable Energy Advocacy:</w:t>
      </w:r>
      <w:r>
        <w:t xml:space="preserve"> </w:t>
      </w:r>
      <w:r>
        <w:t xml:space="preserve">Promote the use of renewable energy sources by end-users (e.g., through smart home integrations, recommendations for green energy providers).</w:t>
      </w:r>
    </w:p>
    <w:p>
      <w:pPr>
        <w:numPr>
          <w:ilvl w:val="0"/>
          <w:numId w:val="1020"/>
        </w:numPr>
        <w:pStyle w:val="Compact"/>
      </w:pPr>
      <w:r>
        <w:rPr>
          <w:bCs/>
          <w:b/>
        </w:rPr>
        <w:t xml:space="preserve">Material Optimization:</w:t>
      </w:r>
      <w:r>
        <w:t xml:space="preserve"> </w:t>
      </w:r>
      <w:r>
        <w:t xml:space="preserve">Explore alternative, lower-carbon materials for the Aluminum Casing and Circuit Board, or reduce the quantity of these high-impact materials.</w:t>
      </w:r>
    </w:p>
    <w:p>
      <w:pPr>
        <w:numPr>
          <w:ilvl w:val="0"/>
          <w:numId w:val="1020"/>
        </w:numPr>
        <w:pStyle w:val="Compact"/>
      </w:pPr>
      <w:r>
        <w:rPr>
          <w:bCs/>
          <w:b/>
        </w:rPr>
        <w:t xml:space="preserve">Supply Chain Engagement:</w:t>
      </w:r>
      <w:r>
        <w:t xml:space="preserve"> </w:t>
      </w:r>
      <w:r>
        <w:t xml:space="preserve">Work with suppliers to understand and reduce their own carbon footprints, especially for high-impact components.</w:t>
      </w:r>
    </w:p>
    <w:p>
      <w:pPr>
        <w:numPr>
          <w:ilvl w:val="0"/>
          <w:numId w:val="1020"/>
        </w:numPr>
        <w:pStyle w:val="Compact"/>
      </w:pPr>
      <w:r>
        <w:rPr>
          <w:bCs/>
          <w:b/>
        </w:rPr>
        <w:t xml:space="preserve">Circular Economy Expansion:</w:t>
      </w:r>
      <w:r>
        <w:t xml:space="preserve"> </w:t>
      </w:r>
      <w:r>
        <w:t xml:space="preserve">Further develop and promote the take-back and refurbishment programs (ndrqxhstdk) to maximize material recovery and product longevity, actively quantifying the avoided emissions for future reports.</w:t>
      </w:r>
    </w:p>
    <w:p>
      <w:pPr>
        <w:numPr>
          <w:ilvl w:val="0"/>
          <w:numId w:val="1020"/>
        </w:numPr>
        <w:pStyle w:val="Compact"/>
      </w:pPr>
      <w:r>
        <w:rPr>
          <w:bCs/>
          <w:b/>
        </w:rPr>
        <w:t xml:space="preserve">Data Refinement:</w:t>
      </w:r>
      <w:r>
        <w:t xml:space="preserve"> </w:t>
      </w:r>
      <w:r>
        <w:t xml:space="preserve">Collect more granular primary data for all placeholder parameters to enhance the accuracy of future PCF assessments.</w:t>
      </w:r>
    </w:p>
    <w:p>
      <w:r>
        <w:pict>
          <v:rect style="width:0;height:1.5pt" o:hralign="center" o:hrstd="t" o:hr="t"/>
        </w:pict>
      </w:r>
    </w:p>
    <w:p>
      <w:pPr>
        <w:pStyle w:val="FirstParagraph"/>
      </w:pPr>
      <w:r>
        <w:t xml:space="preserve">Confidential - Internal Use Only</w:t>
      </w:r>
    </w:p>
    <w:p>
      <w:pPr>
        <w:pStyle w:val="BodyText"/>
      </w:pPr>
      <w:r>
        <w:t xml:space="preserve">© 2026 xexkmezouw. All rights reserved.</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nnpkfmotqn</dc:title>
  <dc:creator/>
  <dc:description>Detailed Product Carbon Footprint (PCF) analysis report for product nnpkfmotqn, performed by huukoyxive for xexkmezouw, adhering to GHG Protocol standards and 2026 LSR updates.</dc:description>
  <dc:language>en</dc:language>
  <cp:keywords/>
  <dcterms:created xsi:type="dcterms:W3CDTF">2026-07-15T08:38:17Z</dcterms:created>
  <dcterms:modified xsi:type="dcterms:W3CDTF">2026-07-15T08:38:17Z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