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nmfukloqpe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nmfukloqpe</w:t>
      </w:r>
    </w:p>
    <w:p>
      <w:pPr>
        <w:pStyle w:val="BodyText"/>
      </w:pPr>
      <w:r>
        <w:rPr>
          <w:bCs/>
          <w:b/>
        </w:rPr>
        <w:t xml:space="preserve">Company:</w:t>
      </w:r>
      <w:r>
        <w:t xml:space="preserve"> </w:t>
      </w:r>
      <w:r>
        <w:t xml:space="preserve">xkispjzgig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otdjflskpv</w:t>
      </w:r>
    </w:p>
    <w:p>
      <w:pPr>
        <w:pStyle w:val="BodyText"/>
      </w:pPr>
      <w:r>
        <w:t xml:space="preserve">This report is generated based on available data and industry standards for illustrative purposes. Actual emissions may vary based on specific operational details and real-time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"nmfukloqpe", manufactured by xkispjzgig. The analysis adheres strictly to the GHG Protocol standards, including the 2026 updates for Land Sector and Removals (LSR) and Scope 3 reporting. Led by Senior Sustainability Consultant otdjflskpv, this study quantifies greenhouse gas (GHG) emissions across the product\'s entire lifecycle, from material acquisition to end-of-life, providing critical insights into environmental impacts and identifying key hotspots for reduction strategies.</w:t>
      </w:r>
    </w:p>
    <w:p>
      <w:r>
        <w:pict>
          <v:rect style="width:0;height:1.5pt" o:hralign="center" o:hrstd="t" o:hr="t"/>
        </w:pict>
      </w:r>
    </w:p>
    <w:bookmarkEnd w:id="21"/>
    <w:bookmarkStart w:id="23" w:name="defining-the-scope"/>
    <w:p>
      <w:pPr>
        <w:pStyle w:val="Heading2"/>
      </w:pPr>
      <w:r>
        <w:t xml:space="preserve">1. Defining the Scope</w:t>
      </w:r>
    </w:p>
    <w:p>
      <w:pPr>
        <w:pStyle w:val="FirstParagraph"/>
      </w:pPr>
      <w:r>
        <w:t xml:space="preserve">The scope of this Product Carbon Footprint (PCF) analysis for nmfukloqpe is defined in accordance with the GHG Protocol\'s Product Standard, encompassing a comprehensive "cradle-to-gate" system boundary with additional considerations for the use and end-of-life phases.</w:t>
      </w:r>
    </w:p>
    <w:p>
      <w:pPr>
        <w:numPr>
          <w:ilvl w:val="0"/>
          <w:numId w:val="1001"/>
        </w:numPr>
        <w:pStyle w:val="Compact"/>
      </w:pPr>
      <w:r>
        <w:rPr>
          <w:bCs/>
          <w:b/>
        </w:rPr>
        <w:t xml:space="preserve">Functional Unit:</w:t>
      </w:r>
      <w:r>
        <w:t xml:space="preserve"> </w:t>
      </w:r>
      <w:r>
        <w:t xml:space="preserve">1.0 unit of nmfukloqpe</w:t>
      </w:r>
    </w:p>
    <w:p>
      <w:pPr>
        <w:numPr>
          <w:ilvl w:val="0"/>
          <w:numId w:val="1001"/>
        </w:numPr>
        <w:pStyle w:val="Compact"/>
      </w:pPr>
      <w:r>
        <w:rPr>
          <w:bCs/>
          <w:b/>
        </w:rPr>
        <w:t xml:space="preserve">System Boundary:</w:t>
      </w:r>
      <w:r>
        <w:t xml:space="preserve"> </w:t>
      </w:r>
      <w:r>
        <w:t xml:space="preserve">factory_gate (cradle-to-gate), with extended analysis for the use phase and end-of-life treatment. This includes all processes from raw material extraction, transport to manufacturing, manufacturing processes, and the product leaving the factory gate. Downstream emissions from product use and end-of-life are also calculated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while final assembly occurs in China, upstream material and component sourcing is primarily considered from a European supply chain perspective for transport calculations.</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w:t>
      </w:r>
    </w:p>
    <w:p>
      <w:pPr>
        <w:numPr>
          <w:ilvl w:val="0"/>
          <w:numId w:val="1001"/>
        </w:numPr>
        <w:pStyle w:val="Compact"/>
      </w:pPr>
      <w:r>
        <w:rPr>
          <w:bCs/>
          <w:b/>
        </w:rPr>
        <w:t xml:space="preserve">Allocation:</w:t>
      </w:r>
      <w:r>
        <w:t xml:space="preserve"> </w:t>
      </w:r>
      <w:r>
        <w:t xml:space="preserve">Mass allocation is applied for co-products and recycling scenarios where applicable.</w:t>
      </w:r>
    </w:p>
    <w:bookmarkStart w:id="22" w:name="ghg-protocol-scope-categorization"/>
    <w:p>
      <w:pPr>
        <w:pStyle w:val="Heading3"/>
      </w:pPr>
      <w:r>
        <w:t xml:space="preserve">GHG Protocol Scope Categorization:</w:t>
      </w:r>
    </w:p>
    <w:p>
      <w:pPr>
        <w:numPr>
          <w:ilvl w:val="0"/>
          <w:numId w:val="1002"/>
        </w:numPr>
        <w:pStyle w:val="Compact"/>
      </w:pPr>
      <w:r>
        <w:rPr>
          <w:bCs/>
          <w:b/>
        </w:rPr>
        <w:t xml:space="preserve">Scope 1:</w:t>
      </w:r>
      <w:r>
        <w:t xml:space="preserve"> </w:t>
      </w:r>
      <w:r>
        <w:t xml:space="preserve">Direct emissions from operations owned or controlled by xkispjzgig (e.g., on-site fuel combustion for manufacturing).</w:t>
      </w:r>
    </w:p>
    <w:p>
      <w:pPr>
        <w:numPr>
          <w:ilvl w:val="0"/>
          <w:numId w:val="1002"/>
        </w:numPr>
        <w:pStyle w:val="Compact"/>
      </w:pPr>
      <w:r>
        <w:rPr>
          <w:bCs/>
          <w:b/>
        </w:rPr>
        <w:t xml:space="preserve">Scope 2:</w:t>
      </w:r>
      <w:r>
        <w:t xml:space="preserve"> </w:t>
      </w:r>
      <w:r>
        <w:t xml:space="preserve">Indirect emissions from purchased electricity, heat, or steam consumed by xkispjzgig\'s manufacturing facilities.</w:t>
      </w:r>
    </w:p>
    <w:p>
      <w:pPr>
        <w:numPr>
          <w:ilvl w:val="0"/>
          <w:numId w:val="1002"/>
        </w:numPr>
        <w:pStyle w:val="Compact"/>
      </w:pPr>
      <w:r>
        <w:rPr>
          <w:bCs/>
          <w:b/>
        </w:rPr>
        <w:t xml:space="preserve">Scope 3:</w:t>
      </w:r>
      <w:r>
        <w:t xml:space="preserve"> </w:t>
      </w:r>
      <w:r>
        <w:t xml:space="preserve">All other indirect emissions in the value chain, including:</w:t>
      </w:r>
    </w:p>
    <w:p>
      <w:pPr>
        <w:numPr>
          <w:ilvl w:val="1"/>
          <w:numId w:val="1003"/>
        </w:numPr>
        <w:pStyle w:val="Compact"/>
      </w:pPr>
      <w:r>
        <w:t xml:space="preserve">Upstream emissions: Purchased goods and services (materials), capital goods, fuel- and energy-related activities, upstream transportation and distribution.</w:t>
      </w:r>
    </w:p>
    <w:p>
      <w:pPr>
        <w:numPr>
          <w:ilvl w:val="1"/>
          <w:numId w:val="1003"/>
        </w:numPr>
        <w:pStyle w:val="Compact"/>
      </w:pPr>
      <w:r>
        <w:t xml:space="preserve">Downstream emissions: Downstream transportation and distribution (last-mile delivery), use of sold products, end-of-life treatment of sold products.</w:t>
      </w:r>
    </w:p>
    <w:p>
      <w:r>
        <w:pict>
          <v:rect style="width:0;height:1.5pt" o:hralign="center" o:hrstd="t" o:hr="t"/>
        </w:pict>
      </w:r>
    </w:p>
    <w:bookmarkEnd w:id="22"/>
    <w:bookmarkEnd w:id="23"/>
    <w:bookmarkStart w:id="32" w:name="mapping-the-lifecycle-3.-data-collection"/>
    <w:p>
      <w:pPr>
        <w:pStyle w:val="Heading2"/>
      </w:pPr>
      <w:r>
        <w:t xml:space="preserve">2. Mapping the Lifecycle &amp; 3. Data Collection</w:t>
      </w:r>
    </w:p>
    <w:p>
      <w:pPr>
        <w:pStyle w:val="FirstParagraph"/>
      </w:pPr>
      <w:r>
        <w:t xml:space="preserve">The lifecycle of nmfukloqpe is mapped into distinct stages, and data is collected for each, combining primary data provided by xkispjzgig and secondary industry-average emission factors.</w:t>
      </w:r>
    </w:p>
    <w:bookmarkStart w:id="24" w:name="X77f6e5879214df0b89a9332db927aa2f934416f"/>
    <w:p>
      <w:pPr>
        <w:pStyle w:val="Heading3"/>
      </w:pPr>
      <w:r>
        <w:t xml:space="preserve">2.1. Materials Acquisition &amp; Pre-processing (Scope 3 - Category 1: Purchased Goods and Services)</w:t>
      </w:r>
    </w:p>
    <w:p>
      <w:pPr>
        <w:pStyle w:val="FirstParagraph"/>
      </w:pPr>
      <w:r>
        <w:t xml:space="preserve">The Detailed Bill of Materials (BOM) for nmfukloqpe (uderiivv) is used to determine the material inputs and their associated carbon impacts. The "Total Carbon" values provided in the BOM are directly used for material impact calculation, representing the "cradle-to-gate" emissions of these raw materials.</w:t>
      </w:r>
    </w:p>
    <w:p>
      <w:pPr>
        <w:pStyle w:val="BodyText"/>
      </w:pPr>
      <w:r>
        <w:rPr>
          <w:bCs/>
          <w:b/>
        </w:rPr>
        <w:t xml:space="preserve">Detailed Bill of Materials (uderiivv):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MAT002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Moulding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Emissions (Upstream):</w:t>
      </w:r>
      <w:r>
        <w:t xml:space="preserve"> </w:t>
      </w:r>
      <w:r>
        <w:t xml:space="preserve">4.0 + 1.05 + 1.5 + 0.2 + 0.3 = 7.05 kg CO2e</w:t>
      </w:r>
    </w:p>
    <w:bookmarkEnd w:id="24"/>
    <w:bookmarkStart w:id="25" w:name="Xc14b508444ca1dc8cd50d629fd85c533aade109"/>
    <w:p>
      <w:pPr>
        <w:pStyle w:val="Heading3"/>
      </w:pPr>
      <w:r>
        <w:t xml:space="preserve">2.2. Manufacturing/Production Phase (Scope 1 &amp; Scope 2)</w:t>
      </w:r>
    </w:p>
    <w:p>
      <w:pPr>
        <w:pStyle w:val="FirstParagraph"/>
      </w:pPr>
      <w:r>
        <w:t xml:space="preserve">This phase covers the energy consumed during the manufacturing processes at xkispjzgig\'s facility in China.</w:t>
      </w:r>
    </w:p>
    <w:p>
      <w:pPr>
        <w:numPr>
          <w:ilvl w:val="0"/>
          <w:numId w:val="1004"/>
        </w:numPr>
        <w:pStyle w:val="Compact"/>
      </w:pPr>
      <w:r>
        <w:rPr>
          <w:bCs/>
          <w:b/>
        </w:rPr>
        <w:t xml:space="preserve">Energy Intensity (kWh/unit):</w:t>
      </w:r>
      <w:r>
        <w:t xml:space="preserve"> </w:t>
      </w:r>
      <w:r>
        <w:t xml:space="preserve">txzmzlwypm (e.g., 20 kWh/unit)</w:t>
      </w:r>
    </w:p>
    <w:p>
      <w:pPr>
        <w:numPr>
          <w:ilvl w:val="0"/>
          <w:numId w:val="1004"/>
        </w:numPr>
        <w:pStyle w:val="Compact"/>
      </w:pPr>
      <w:r>
        <w:rPr>
          <w:bCs/>
          <w:b/>
        </w:rPr>
        <w:t xml:space="preserve">Renewable Energy Usage:</w:t>
      </w:r>
      <w:r>
        <w:t xml:space="preserve"> </w:t>
      </w:r>
      <w:r>
        <w:t xml:space="preserve">fxozulzmsl (e.g., 40%)</w:t>
      </w:r>
    </w:p>
    <w:p>
      <w:pPr>
        <w:pStyle w:val="FirstParagraph"/>
      </w:pPr>
      <w:r>
        <w:t xml:space="preserve">To calculate Scope 2 emissions, the electricity grid emission factor for China is required. According to recent data, China\'s national average electricity emission factor (AEF) for 2021 was approximately 0.5568 kg CO2/kWh, with other sources providing similar values around 0.556 kg CO2e/kWh or 0.577 kg CO2e/MWh (0.577 kg CO2e/kWh). We will use an average of</w:t>
      </w:r>
      <w:r>
        <w:t xml:space="preserve"> </w:t>
      </w:r>
      <w:r>
        <w:rPr>
          <w:bCs/>
          <w:b/>
        </w:rPr>
        <w:t xml:space="preserve">0.56 kg CO2e/kWh</w:t>
      </w:r>
      <w:r>
        <w:t xml:space="preserve"> </w:t>
      </w:r>
      <w:r>
        <w:t xml:space="preserve">for the grid mix.</w:t>
      </w:r>
    </w:p>
    <w:p>
      <w:pPr>
        <w:pStyle w:val="BodyText"/>
      </w:pPr>
      <w:r>
        <w:t xml:space="preserve">Given 40% renewable energy usage (fxozulzmsl), 60% of the consumed electricity comes from the grid.</w:t>
      </w:r>
    </w:p>
    <w:p>
      <w:pPr>
        <w:numPr>
          <w:ilvl w:val="0"/>
          <w:numId w:val="1005"/>
        </w:numPr>
        <w:pStyle w:val="Compact"/>
      </w:pPr>
      <w:r>
        <w:t xml:space="preserve">Electricity Consumption per unit: 20 kWh/unit (txzmzlwypm)</w:t>
      </w:r>
    </w:p>
    <w:p>
      <w:pPr>
        <w:numPr>
          <w:ilvl w:val="0"/>
          <w:numId w:val="1005"/>
        </w:numPr>
        <w:pStyle w:val="Compact"/>
      </w:pPr>
      <w:r>
        <w:t xml:space="preserve">Non-renewable electricity: 20 kWh/unit * (1 - 0.40) = 12 kWh/unit</w:t>
      </w:r>
    </w:p>
    <w:p>
      <w:pPr>
        <w:numPr>
          <w:ilvl w:val="0"/>
          <w:numId w:val="1005"/>
        </w:numPr>
        <w:pStyle w:val="Compact"/>
      </w:pPr>
      <w:r>
        <w:t xml:space="preserve">Emissions from purchased electricity (Scope 2): 12 kWh/unit * 0.56 kg CO2e/kWh = 6.72 kg CO2e/unit</w:t>
      </w:r>
    </w:p>
    <w:p>
      <w:pPr>
        <w:pStyle w:val="FirstParagraph"/>
      </w:pPr>
      <w:r>
        <w:t xml:space="preserve">For Scope 1 emissions, without specific direct fuel combustion data, we assume these are either negligible for this product\'s manufacturing stage or are implicitly covered in the upstream material emissions (e.g., if material emission factors include fuel for on-site processing at supplier). For the purpose of this PCF, significant direct emissions are not assumed without further data.</w:t>
      </w:r>
    </w:p>
    <w:bookmarkEnd w:id="25"/>
    <w:bookmarkStart w:id="28" w:name="Xcf90aec9e93b788a185e3b94f2ec5179bb4e44e"/>
    <w:p>
      <w:pPr>
        <w:pStyle w:val="Heading3"/>
      </w:pPr>
      <w:r>
        <w:t xml:space="preserve">2.3. Transport (Scope 3 - Category 4: Upstream Transportation &amp; Distribution, Category 9: Downstream Transportation &amp; Distribution)</w:t>
      </w:r>
    </w:p>
    <w:p>
      <w:pPr>
        <w:pStyle w:val="FirstParagraph"/>
      </w:pPr>
      <w:r>
        <w:t xml:space="preserve">Transport emissions are calculated for both upstream materials (to the factory) and downstream finished products (to the customer).</w:t>
      </w:r>
    </w:p>
    <w:p>
      <w:pPr>
        <w:numPr>
          <w:ilvl w:val="0"/>
          <w:numId w:val="1006"/>
        </w:numPr>
        <w:pStyle w:val="Compact"/>
      </w:pPr>
      <w:r>
        <w:rPr>
          <w:bCs/>
          <w:b/>
        </w:rPr>
        <w:t xml:space="preserve">Upstream Transport Distance:</w:t>
      </w:r>
      <w:r>
        <w:t xml:space="preserve"> </w:t>
      </w:r>
      <w:r>
        <w:t xml:space="preserve">ottnypksfm (e.g., 1500 km, Europe to China)</w:t>
      </w:r>
    </w:p>
    <w:p>
      <w:pPr>
        <w:numPr>
          <w:ilvl w:val="0"/>
          <w:numId w:val="1006"/>
        </w:numPr>
        <w:pStyle w:val="Compact"/>
      </w:pPr>
      <w:r>
        <w:rPr>
          <w:bCs/>
          <w:b/>
        </w:rPr>
        <w:t xml:space="preserve">Transport Mode (Upstream):</w:t>
      </w:r>
      <w:r>
        <w:t xml:space="preserve"> </w:t>
      </w:r>
      <w:r>
        <w:t xml:space="preserve">Select Mode (Assumed to be Road Freight (Heavy Goods Vehicle, HGV &gt; 16t))</w:t>
      </w:r>
    </w:p>
    <w:p>
      <w:pPr>
        <w:numPr>
          <w:ilvl w:val="0"/>
          <w:numId w:val="1006"/>
        </w:numPr>
        <w:pStyle w:val="Compact"/>
      </w:pPr>
      <w:r>
        <w:rPr>
          <w:bCs/>
          <w:b/>
        </w:rPr>
        <w:t xml:space="preserve">Last-Mile Delivery Channel (Downstream):</w:t>
      </w:r>
      <w:r>
        <w:t xml:space="preserve"> </w:t>
      </w:r>
      <w:r>
        <w:t xml:space="preserve">Delivery Type (Assumed to be Light Commercial Vehicle (LCV))</w:t>
      </w:r>
    </w:p>
    <w:p>
      <w:pPr>
        <w:pStyle w:val="FirstParagraph"/>
      </w:pPr>
      <w:r>
        <w:t xml:space="preserve">Emission factors for freight transport vary significantly by vehicle type, load, and distance. For road freight HGV, a general factor can be around 0.21 kg CO2e per 1000 km for a 2kg package, or 0.211 kg CO2e per ton-mile. For this analysis, we will use an illustrative emission factor for HGV road freight of</w:t>
      </w:r>
      <w:r>
        <w:t xml:space="preserve"> </w:t>
      </w:r>
      <w:r>
        <w:rPr>
          <w:bCs/>
          <w:b/>
        </w:rPr>
        <w:t xml:space="preserve">0.08 kg CO2e/tkm</w:t>
      </w:r>
      <w:r>
        <w:t xml:space="preserve"> </w:t>
      </w:r>
      <w:r>
        <w:t xml:space="preserve">(tonne-kilometer) for upstream transport and</w:t>
      </w:r>
      <w:r>
        <w:t xml:space="preserve"> </w:t>
      </w:r>
      <w:r>
        <w:rPr>
          <w:bCs/>
          <w:b/>
        </w:rPr>
        <w:t xml:space="preserve">0.2 kg CO2e/tkm</w:t>
      </w:r>
      <w:r>
        <w:t xml:space="preserve"> </w:t>
      </w:r>
      <w:r>
        <w:t xml:space="preserve">for LCV last-mile delivery. The specific product weight needs to be estimated to convert distance to tkm. Assuming an average product weight of 1 kg for nmfukloqpe.</w:t>
      </w:r>
    </w:p>
    <w:bookmarkStart w:id="26" w:name="upstream-transport"/>
    <w:p>
      <w:pPr>
        <w:pStyle w:val="Heading4"/>
      </w:pPr>
      <w:r>
        <w:t xml:space="preserve">Upstream Transport:</w:t>
      </w:r>
    </w:p>
    <w:p>
      <w:pPr>
        <w:numPr>
          <w:ilvl w:val="0"/>
          <w:numId w:val="1007"/>
        </w:numPr>
        <w:pStyle w:val="Compact"/>
      </w:pPr>
      <w:r>
        <w:t xml:space="preserve">Product Weight: Let\'s assume the final product weight is approximately the sum of BOM materials: 0.5 + 0.3 + 0.1 + 0.05 + 0.2 = 1.15 kg.</w:t>
      </w:r>
    </w:p>
    <w:p>
      <w:pPr>
        <w:numPr>
          <w:ilvl w:val="0"/>
          <w:numId w:val="1007"/>
        </w:numPr>
        <w:pStyle w:val="Compact"/>
      </w:pPr>
      <w:r>
        <w:t xml:space="preserve">Assumed total material weight for transport (including packaging): 1.15 kg.</w:t>
      </w:r>
    </w:p>
    <w:p>
      <w:pPr>
        <w:numPr>
          <w:ilvl w:val="0"/>
          <w:numId w:val="1007"/>
        </w:numPr>
        <w:pStyle w:val="Compact"/>
      </w:pPr>
      <w:r>
        <w:t xml:space="preserve">Transported weight (tonnes): 1.15 kg / 1000 = 0.00115 tonnes</w:t>
      </w:r>
    </w:p>
    <w:p>
      <w:pPr>
        <w:numPr>
          <w:ilvl w:val="0"/>
          <w:numId w:val="1007"/>
        </w:numPr>
        <w:pStyle w:val="Compact"/>
      </w:pPr>
      <w:r>
        <w:t xml:space="preserve">Upstream Distance: 1500 km (ottnypksfm)</w:t>
      </w:r>
    </w:p>
    <w:p>
      <w:pPr>
        <w:numPr>
          <w:ilvl w:val="0"/>
          <w:numId w:val="1007"/>
        </w:numPr>
        <w:pStyle w:val="Compact"/>
      </w:pPr>
      <w:r>
        <w:t xml:space="preserve">Upstream Transport (tkm): 0.00115 tonnes * 1500 km = 1.725 tkm</w:t>
      </w:r>
    </w:p>
    <w:p>
      <w:pPr>
        <w:numPr>
          <w:ilvl w:val="0"/>
          <w:numId w:val="1007"/>
        </w:numPr>
        <w:pStyle w:val="Compact"/>
      </w:pPr>
      <w:r>
        <w:t xml:space="preserve">Upstream Emission Factor (HGV): 0.08 kg CO2e/tkm</w:t>
      </w:r>
    </w:p>
    <w:p>
      <w:pPr>
        <w:numPr>
          <w:ilvl w:val="0"/>
          <w:numId w:val="1007"/>
        </w:numPr>
        <w:pStyle w:val="Compact"/>
      </w:pPr>
      <w:r>
        <w:t xml:space="preserve">Emissions from Upstream Transport (Scope 3): 1.725 tkm * 0.08 kg CO2e/tkm = 0.138 kg CO2e/unit</w:t>
      </w:r>
    </w:p>
    <w:bookmarkEnd w:id="26"/>
    <w:bookmarkStart w:id="27" w:name="downstream-transport-last-mile-delivery"/>
    <w:p>
      <w:pPr>
        <w:pStyle w:val="Heading4"/>
      </w:pPr>
      <w:r>
        <w:t xml:space="preserve">Downstream Transport (Last-Mile Delivery):</w:t>
      </w:r>
    </w:p>
    <w:p>
      <w:pPr>
        <w:numPr>
          <w:ilvl w:val="0"/>
          <w:numId w:val="1008"/>
        </w:numPr>
        <w:pStyle w:val="Compact"/>
      </w:pPr>
      <w:r>
        <w:t xml:space="preserve">Assumed product weight for delivery: 1.15 kg</w:t>
      </w:r>
    </w:p>
    <w:p>
      <w:pPr>
        <w:numPr>
          <w:ilvl w:val="0"/>
          <w:numId w:val="1008"/>
        </w:numPr>
        <w:pStyle w:val="Compact"/>
      </w:pPr>
      <w:r>
        <w:t xml:space="preserve">Assumed last-mile delivery distance: 100 km (typical for regional delivery)</w:t>
      </w:r>
    </w:p>
    <w:p>
      <w:pPr>
        <w:numPr>
          <w:ilvl w:val="0"/>
          <w:numId w:val="1008"/>
        </w:numPr>
        <w:pStyle w:val="Compact"/>
      </w:pPr>
      <w:r>
        <w:t xml:space="preserve">Downstream Transport (tkm): 0.00115 tonnes * 100 km = 0.115 tkm</w:t>
      </w:r>
    </w:p>
    <w:p>
      <w:pPr>
        <w:numPr>
          <w:ilvl w:val="0"/>
          <w:numId w:val="1008"/>
        </w:numPr>
        <w:pStyle w:val="Compact"/>
      </w:pPr>
      <w:r>
        <w:t xml:space="preserve">Downstream Emission Factor (LCV): 0.2 kg CO2e/tkm (This factor reflects higher emissions per tkm for smaller, less efficient last-mile vehicles).</w:t>
      </w:r>
    </w:p>
    <w:p>
      <w:pPr>
        <w:numPr>
          <w:ilvl w:val="0"/>
          <w:numId w:val="1008"/>
        </w:numPr>
        <w:pStyle w:val="Compact"/>
      </w:pPr>
      <w:r>
        <w:t xml:space="preserve">Emissions from Downstream Transport (Scope 3): 0.115 tkm * 0.2 kg CO2e/tkm = 0.023 kg CO2e/unit</w:t>
      </w:r>
    </w:p>
    <w:bookmarkEnd w:id="27"/>
    <w:bookmarkEnd w:id="28"/>
    <w:bookmarkStart w:id="29" w:name="X687445901a9235e23446a36286990b6b14efa53"/>
    <w:p>
      <w:pPr>
        <w:pStyle w:val="Heading3"/>
      </w:pPr>
      <w:r>
        <w:t xml:space="preserve">2.4. Use Phase (Scope 3 - Category 11: Use of Sold Products)</w:t>
      </w:r>
    </w:p>
    <w:p>
      <w:pPr>
        <w:pStyle w:val="FirstParagraph"/>
      </w:pPr>
      <w:r>
        <w:t xml:space="preserve">The use phase emissions are calculated based on the product\'s lifespan and its energy consumption during use.</w:t>
      </w:r>
    </w:p>
    <w:p>
      <w:pPr>
        <w:numPr>
          <w:ilvl w:val="0"/>
          <w:numId w:val="1009"/>
        </w:numPr>
        <w:pStyle w:val="Compact"/>
      </w:pPr>
      <w:r>
        <w:rPr>
          <w:bCs/>
          <w:b/>
        </w:rPr>
        <w:t xml:space="preserve">Product Lifespan:</w:t>
      </w:r>
      <w:r>
        <w:t xml:space="preserve"> </w:t>
      </w:r>
      <w:r>
        <w:t xml:space="preserve">ydewtpysxs (e.g., 5 years)</w:t>
      </w:r>
    </w:p>
    <w:p>
      <w:pPr>
        <w:numPr>
          <w:ilvl w:val="0"/>
          <w:numId w:val="1009"/>
        </w:numPr>
        <w:pStyle w:val="Compact"/>
      </w:pPr>
      <w:r>
        <w:rPr>
          <w:bCs/>
          <w:b/>
        </w:rPr>
        <w:t xml:space="preserve">Energy Consumption in Use:</w:t>
      </w:r>
      <w:r>
        <w:t xml:space="preserve"> </w:t>
      </w:r>
      <w:r>
        <w:t xml:space="preserve">vgisjdlhnx (e.g., 10 kWh/year)</w:t>
      </w:r>
    </w:p>
    <w:p>
      <w:pPr>
        <w:pStyle w:val="FirstParagraph"/>
      </w:pPr>
      <w:r>
        <w:t xml:space="preserve">Assuming the product is used in Europe, we will use a representative European electricity grid emission factor. A common average for the EU grid mix is approximately 0.25 kg CO2e/kWh.</w:t>
      </w:r>
    </w:p>
    <w:p>
      <w:pPr>
        <w:numPr>
          <w:ilvl w:val="0"/>
          <w:numId w:val="1010"/>
        </w:numPr>
        <w:pStyle w:val="Compact"/>
      </w:pPr>
      <w:r>
        <w:t xml:space="preserve">Total energy consumed over lifespan: 10 kWh/year * 5 years = 50 kWh</w:t>
      </w:r>
    </w:p>
    <w:p>
      <w:pPr>
        <w:numPr>
          <w:ilvl w:val="0"/>
          <w:numId w:val="1010"/>
        </w:numPr>
        <w:pStyle w:val="Compact"/>
      </w:pPr>
      <w:r>
        <w:t xml:space="preserve">Emissions from Use Phase (Scope 3): 50 kWh * 0.25 kg CO2e/kWh = 12.5 kg CO2e/unit</w:t>
      </w:r>
    </w:p>
    <w:bookmarkEnd w:id="29"/>
    <w:bookmarkStart w:id="31" w:name="X3c0263bea695149a0b858870bb13e355e904d5e"/>
    <w:p>
      <w:pPr>
        <w:pStyle w:val="Heading3"/>
      </w:pPr>
      <w:r>
        <w:t xml:space="preserve">2.5. End-of-Life (EoL) Treatment (Scope 3 - Category 12: End-of-Life Treatment of Sold Products)</w:t>
      </w:r>
    </w:p>
    <w:p>
      <w:pPr>
        <w:pStyle w:val="FirstParagraph"/>
      </w:pPr>
      <w:r>
        <w:t xml:space="preserve">End-of-life scenarios consider recyclability and circular economy programs.</w:t>
      </w:r>
    </w:p>
    <w:p>
      <w:pPr>
        <w:numPr>
          <w:ilvl w:val="0"/>
          <w:numId w:val="1011"/>
        </w:numPr>
        <w:pStyle w:val="Compact"/>
      </w:pPr>
      <w:r>
        <w:rPr>
          <w:bCs/>
          <w:b/>
        </w:rPr>
        <w:t xml:space="preserve">Recyclability Percentage:</w:t>
      </w:r>
      <w:r>
        <w:t xml:space="preserve"> </w:t>
      </w:r>
      <w:r>
        <w:t xml:space="preserve">emdxnoysko (e.g., 70%)</w:t>
      </w:r>
    </w:p>
    <w:p>
      <w:pPr>
        <w:numPr>
          <w:ilvl w:val="0"/>
          <w:numId w:val="1011"/>
        </w:numPr>
        <w:pStyle w:val="Compact"/>
      </w:pPr>
      <w:r>
        <w:rPr>
          <w:bCs/>
          <w:b/>
        </w:rPr>
        <w:t xml:space="preserve">Circular/Take-back Programs:</w:t>
      </w:r>
      <w:r>
        <w:t xml:space="preserve"> </w:t>
      </w:r>
      <w:r>
        <w:t xml:space="preserve">geugqnxhwh (Yes, active take-back program)</w:t>
      </w:r>
    </w:p>
    <w:p>
      <w:pPr>
        <w:pStyle w:val="FirstParagraph"/>
      </w:pPr>
      <w:r>
        <w:t xml:space="preserve">For EoL calculations, we consider the fate of the 1.15 kg product: 70% recycled and 30% sent to landfill. We need to assign specific material breakdowns for recyclability and disposal impacts. For simplicity, we assume the recyclability applies proportionally to the main materials.</w:t>
      </w:r>
    </w:p>
    <w:p>
      <w:pPr>
        <w:pStyle w:val="BodyText"/>
      </w:pPr>
      <w:r>
        <w:t xml:space="preserve">Emission factors for end-of-life are highly dependent on material type and specific processes. For illustrative purposes:</w:t>
      </w:r>
    </w:p>
    <w:p>
      <w:pPr>
        <w:numPr>
          <w:ilvl w:val="0"/>
          <w:numId w:val="1012"/>
        </w:numPr>
        <w:pStyle w:val="Compact"/>
      </w:pPr>
      <w:r>
        <w:t xml:space="preserve">Landfill: General mixed waste to landfill can be around 33 kg CO2e/tonne (0.033 kg CO2e/kg). Other sources suggest around 1.2 kg CO2/tonne for landfill operations. We will use a conservative estimate of</w:t>
      </w:r>
      <w:r>
        <w:t xml:space="preserve"> </w:t>
      </w:r>
      <w:r>
        <w:rPr>
          <w:bCs/>
          <w:b/>
        </w:rPr>
        <w:t xml:space="preserve">0.033 kg CO2e/kg</w:t>
      </w:r>
      <w:r>
        <w:t xml:space="preserve"> </w:t>
      </w:r>
      <w:r>
        <w:t xml:space="preserve">for landfill.</w:t>
      </w:r>
    </w:p>
    <w:p>
      <w:pPr>
        <w:numPr>
          <w:ilvl w:val="0"/>
          <w:numId w:val="1012"/>
        </w:numPr>
        <w:pStyle w:val="Compact"/>
      </w:pPr>
      <w:r>
        <w:t xml:space="preserve">Recycling: Emissions from recycling typically account for collection, sorting, and reprocessing. Recycling generally has lower emissions than virgin production. For example, recycled aluminum requires only about 5% of the energy of new aluminum. Emissions from recycling plastic can vary significantly, with some estimates around 0.202 kg CO2e/kg for recycled LDPE. We will use an illustrative factor of</w:t>
      </w:r>
      <w:r>
        <w:t xml:space="preserve"> </w:t>
      </w:r>
      <w:r>
        <w:rPr>
          <w:bCs/>
          <w:b/>
        </w:rPr>
        <w:t xml:space="preserve">0.5 kg CO2e/kg</w:t>
      </w:r>
      <w:r>
        <w:t xml:space="preserve"> </w:t>
      </w:r>
      <w:r>
        <w:t xml:space="preserve">for overall recycling process emissions, as a general placeholder for mixed materials if specific recycling data for each material is not available beyond what is already included in the BOM.</w:t>
      </w:r>
    </w:p>
    <w:bookmarkStart w:id="30" w:name="eol-calculations"/>
    <w:p>
      <w:pPr>
        <w:pStyle w:val="Heading4"/>
      </w:pPr>
      <w:r>
        <w:t xml:space="preserve">EoL Calculations:</w:t>
      </w:r>
    </w:p>
    <w:p>
      <w:pPr>
        <w:numPr>
          <w:ilvl w:val="0"/>
          <w:numId w:val="1013"/>
        </w:numPr>
        <w:pStyle w:val="Compact"/>
      </w:pPr>
      <w:r>
        <w:t xml:space="preserve">Total product weight at EoL: 1.15 kg</w:t>
      </w:r>
    </w:p>
    <w:p>
      <w:pPr>
        <w:numPr>
          <w:ilvl w:val="0"/>
          <w:numId w:val="1013"/>
        </w:numPr>
        <w:pStyle w:val="Compact"/>
      </w:pPr>
      <w:r>
        <w:t xml:space="preserve">Recycled portion: 1.15 kg * 0.70 = 0.805 kg</w:t>
      </w:r>
    </w:p>
    <w:p>
      <w:pPr>
        <w:numPr>
          <w:ilvl w:val="0"/>
          <w:numId w:val="1013"/>
        </w:numPr>
        <w:pStyle w:val="Compact"/>
      </w:pPr>
      <w:r>
        <w:t xml:space="preserve">Landfilled portion: 1.15 kg * 0.30 = 0.345 kg</w:t>
      </w:r>
    </w:p>
    <w:p>
      <w:pPr>
        <w:numPr>
          <w:ilvl w:val="0"/>
          <w:numId w:val="1013"/>
        </w:numPr>
        <w:pStyle w:val="Compact"/>
      </w:pPr>
      <w:r>
        <w:t xml:space="preserve">Emissions from Recycling: 0.805 kg * 0.5 kg CO2e/kg = 0.4025 kg CO2e/unit (These are emissions *from* the recycling process itself, not avoided emissions from using recycled content, which are often accounted for in material EFs).</w:t>
      </w:r>
    </w:p>
    <w:p>
      <w:pPr>
        <w:numPr>
          <w:ilvl w:val="0"/>
          <w:numId w:val="1013"/>
        </w:numPr>
        <w:pStyle w:val="Compact"/>
      </w:pPr>
      <w:r>
        <w:t xml:space="preserve">Emissions from Landfill: 0.345 kg * 0.033 kg CO2e/kg = 0.0114 kg CO2e/unit</w:t>
      </w:r>
    </w:p>
    <w:p>
      <w:pPr>
        <w:numPr>
          <w:ilvl w:val="0"/>
          <w:numId w:val="1013"/>
        </w:numPr>
        <w:pStyle w:val="Compact"/>
      </w:pPr>
      <w:r>
        <w:rPr>
          <w:bCs/>
          <w:b/>
        </w:rPr>
        <w:t xml:space="preserve">Net Circular Economy Impact from Circular/Take-back Programs (geugqnxhwh):</w:t>
      </w:r>
      <w:r>
        <w:t xml:space="preserve"> </w:t>
      </w:r>
      <w:r>
        <w:t xml:space="preserve">An active take-back program can facilitate higher recycling rates and better material recovery. While this analysis quantifies direct EoL emissions, a robust program would also lead to avoided virgin material production. We acknowledge this benefit qualitatively here, as specific avoided emissions data is beyond the current parameters.</w:t>
      </w:r>
    </w:p>
    <w:p>
      <w:pPr>
        <w:numPr>
          <w:ilvl w:val="0"/>
          <w:numId w:val="1013"/>
        </w:numPr>
        <w:pStyle w:val="Compact"/>
      </w:pPr>
      <w:r>
        <w:t xml:space="preserve">Total EoL Emissions (Scope 3): 0.4025 + 0.0114 = 0.4139 kg CO2e/unit</w:t>
      </w:r>
    </w:p>
    <w:p>
      <w:r>
        <w:pict>
          <v:rect style="width:0;height:1.5pt" o:hralign="center" o:hrstd="t" o:hr="t"/>
        </w:pict>
      </w:r>
    </w:p>
    <w:bookmarkEnd w:id="30"/>
    <w:bookmarkEnd w:id="31"/>
    <w:bookmarkEnd w:id="32"/>
    <w:bookmarkStart w:id="38" w:name="calculating-emissions"/>
    <w:p>
      <w:pPr>
        <w:pStyle w:val="Heading2"/>
      </w:pPr>
      <w:r>
        <w:t xml:space="preserve">4. Calculating Emissions</w:t>
      </w:r>
    </w:p>
    <w:p>
      <w:pPr>
        <w:pStyle w:val="FirstParagraph"/>
      </w:pPr>
      <w:r>
        <w:t xml:space="preserve">Emissions are calculated for each lifecycle stage and categorized according to the GHG Protocol Scopes.</w:t>
      </w:r>
    </w:p>
    <w:bookmarkStart w:id="33" w:name="Xdf5c4cefc3271fdcdad6c249f1b19a7ad986017"/>
    <w:p>
      <w:pPr>
        <w:pStyle w:val="Heading3"/>
      </w:pPr>
      <w:r>
        <w:t xml:space="preserve">4.1. 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Purchased Goods &amp; Services</w:t>
            </w:r>
          </w:p>
        </w:tc>
        <w:tc>
          <w:tcPr/>
          <w:p>
            <w:pPr>
              <w:pStyle w:val="Compact"/>
              <w:jc w:val="left"/>
            </w:pPr>
            <w:r>
              <w:t xml:space="preserve">Scope 3 (Upstream)</w:t>
            </w:r>
          </w:p>
        </w:tc>
        <w:tc>
          <w:tcPr/>
          <w:p>
            <w:pPr>
              <w:pStyle w:val="Compact"/>
              <w:jc w:val="left"/>
            </w:pPr>
            <w:r>
              <w:t xml:space="preserve">7.05</w:t>
            </w:r>
          </w:p>
        </w:tc>
      </w:tr>
      <w:tr>
        <w:tc>
          <w:tcPr/>
          <w:p>
            <w:pPr>
              <w:pStyle w:val="Compact"/>
              <w:jc w:val="left"/>
            </w:pPr>
            <w:r>
              <w:t xml:space="preserve">Manufacturing Energy</w:t>
            </w:r>
          </w:p>
        </w:tc>
        <w:tc>
          <w:tcPr/>
          <w:p>
            <w:pPr>
              <w:pStyle w:val="Compact"/>
              <w:jc w:val="left"/>
            </w:pPr>
            <w:r>
              <w:t xml:space="preserve">Purchased Electricity</w:t>
            </w:r>
          </w:p>
        </w:tc>
        <w:tc>
          <w:tcPr/>
          <w:p>
            <w:pPr>
              <w:pStyle w:val="Compact"/>
              <w:jc w:val="left"/>
            </w:pPr>
            <w:r>
              <w:t xml:space="preserve">Scope 2</w:t>
            </w:r>
          </w:p>
        </w:tc>
        <w:tc>
          <w:tcPr/>
          <w:p>
            <w:pPr>
              <w:pStyle w:val="Compact"/>
              <w:jc w:val="left"/>
            </w:pPr>
            <w:r>
              <w:t xml:space="preserve">6.72</w:t>
            </w:r>
          </w:p>
        </w:tc>
      </w:tr>
      <w:tr>
        <w:tc>
          <w:tcPr/>
          <w:p>
            <w:pPr>
              <w:pStyle w:val="Compact"/>
              <w:jc w:val="left"/>
            </w:pPr>
            <w:r>
              <w:t xml:space="preserve">Upstream Transportation</w:t>
            </w:r>
          </w:p>
        </w:tc>
        <w:tc>
          <w:tcPr/>
          <w:p>
            <w:pPr>
              <w:pStyle w:val="Compact"/>
              <w:jc w:val="left"/>
            </w:pPr>
            <w:r>
              <w:t xml:space="preserve">Upstream T&amp;D</w:t>
            </w:r>
          </w:p>
        </w:tc>
        <w:tc>
          <w:tcPr/>
          <w:p>
            <w:pPr>
              <w:pStyle w:val="Compact"/>
              <w:jc w:val="left"/>
            </w:pPr>
            <w:r>
              <w:t xml:space="preserve">Scope 3 (Upstream)</w:t>
            </w:r>
          </w:p>
        </w:tc>
        <w:tc>
          <w:tcPr/>
          <w:p>
            <w:pPr>
              <w:pStyle w:val="Compact"/>
              <w:jc w:val="left"/>
            </w:pPr>
            <w:r>
              <w:t xml:space="preserve">0.138</w:t>
            </w:r>
          </w:p>
        </w:tc>
      </w:tr>
      <w:tr>
        <w:tc>
          <w:tcPr/>
          <w:p>
            <w:pPr>
              <w:pStyle w:val="Compact"/>
              <w:jc w:val="left"/>
            </w:pPr>
            <w:r>
              <w:t xml:space="preserve">Downstream Transportation</w:t>
            </w:r>
          </w:p>
        </w:tc>
        <w:tc>
          <w:tcPr/>
          <w:p>
            <w:pPr>
              <w:pStyle w:val="Compact"/>
              <w:jc w:val="left"/>
            </w:pPr>
            <w:r>
              <w:t xml:space="preserve">Downstream T&amp;D</w:t>
            </w:r>
          </w:p>
        </w:tc>
        <w:tc>
          <w:tcPr/>
          <w:p>
            <w:pPr>
              <w:pStyle w:val="Compact"/>
              <w:jc w:val="left"/>
            </w:pPr>
            <w:r>
              <w:t xml:space="preserve">Scope 3 (Downstream)</w:t>
            </w:r>
          </w:p>
        </w:tc>
        <w:tc>
          <w:tcPr/>
          <w:p>
            <w:pPr>
              <w:pStyle w:val="Compact"/>
              <w:jc w:val="left"/>
            </w:pPr>
            <w:r>
              <w:t xml:space="preserve">0.023</w:t>
            </w:r>
          </w:p>
        </w:tc>
      </w:tr>
      <w:tr>
        <w:tc>
          <w:tcPr/>
          <w:p>
            <w:pPr>
              <w:pStyle w:val="Compact"/>
              <w:jc w:val="left"/>
            </w:pPr>
            <w:r>
              <w:t xml:space="preserve">Use Phase</w:t>
            </w:r>
          </w:p>
        </w:tc>
        <w:tc>
          <w:tcPr/>
          <w:p>
            <w:pPr>
              <w:pStyle w:val="Compact"/>
              <w:jc w:val="left"/>
            </w:pPr>
            <w:r>
              <w:t xml:space="preserve">Use of Sold Products</w:t>
            </w:r>
          </w:p>
        </w:tc>
        <w:tc>
          <w:tcPr/>
          <w:p>
            <w:pPr>
              <w:pStyle w:val="Compact"/>
              <w:jc w:val="left"/>
            </w:pPr>
            <w:r>
              <w:t xml:space="preserve">Scope 3 (Downstream)</w:t>
            </w:r>
          </w:p>
        </w:tc>
        <w:tc>
          <w:tcPr/>
          <w:p>
            <w:pPr>
              <w:pStyle w:val="Compact"/>
              <w:jc w:val="left"/>
            </w:pPr>
            <w:r>
              <w:t xml:space="preserve">12.5</w:t>
            </w:r>
          </w:p>
        </w:tc>
      </w:tr>
      <w:tr>
        <w:tc>
          <w:tcPr/>
          <w:p>
            <w:pPr>
              <w:pStyle w:val="Compact"/>
              <w:jc w:val="left"/>
            </w:pPr>
            <w:r>
              <w:t xml:space="preserve">End-of-Life Treatment</w:t>
            </w:r>
          </w:p>
        </w:tc>
        <w:tc>
          <w:tcPr/>
          <w:p>
            <w:pPr>
              <w:pStyle w:val="Compact"/>
              <w:jc w:val="left"/>
            </w:pPr>
            <w:r>
              <w:t xml:space="preserve">EoL Treatment of Sold Products</w:t>
            </w:r>
          </w:p>
        </w:tc>
        <w:tc>
          <w:tcPr/>
          <w:p>
            <w:pPr>
              <w:pStyle w:val="Compact"/>
              <w:jc w:val="left"/>
            </w:pPr>
            <w:r>
              <w:t xml:space="preserve">Scope 3 (Downstream)</w:t>
            </w:r>
          </w:p>
        </w:tc>
        <w:tc>
          <w:tcPr/>
          <w:p>
            <w:pPr>
              <w:pStyle w:val="Compact"/>
              <w:jc w:val="left"/>
            </w:pPr>
            <w:r>
              <w:t xml:space="preserve">0.4139</w:t>
            </w:r>
          </w:p>
        </w:tc>
      </w:tr>
    </w:tbl>
    <w:bookmarkEnd w:id="33"/>
    <w:bookmarkStart w:id="34" w:name="total-product-carbon-footprint"/>
    <w:p>
      <w:pPr>
        <w:pStyle w:val="Heading3"/>
      </w:pPr>
      <w:r>
        <w:t xml:space="preserve">4.2. Total Product Carbon Footprint</w:t>
      </w:r>
    </w:p>
    <w:p>
      <w:pPr>
        <w:pStyle w:val="FirstParagraph"/>
      </w:pPr>
      <w:r>
        <w:rPr>
          <w:bCs/>
          <w:b/>
        </w:rPr>
        <w:t xml:space="preserve">Total PCF = Sum of all emissions = 7.05 + 6.72 + 0.138 + 0.023 + 12.5 + 0.4139 = 26.8449 kg CO2e per unit of nmfukloqpe</w:t>
      </w:r>
    </w:p>
    <w:bookmarkEnd w:id="34"/>
    <w:bookmarkStart w:id="35" w:name="emissions-by-ghg-protocol-scope"/>
    <w:p>
      <w:pPr>
        <w:pStyle w:val="Heading3"/>
      </w:pPr>
      <w:r>
        <w:t xml:space="preserve">4.3. Emissions by GHG Protocol Scope</w:t>
      </w:r>
    </w:p>
    <w:p>
      <w:pPr>
        <w:numPr>
          <w:ilvl w:val="0"/>
          <w:numId w:val="1014"/>
        </w:numPr>
        <w:pStyle w:val="Compact"/>
      </w:pPr>
      <w:r>
        <w:rPr>
          <w:bCs/>
          <w:b/>
        </w:rPr>
        <w:t xml:space="preserve">Scope 1 Emissions:</w:t>
      </w:r>
      <w:r>
        <w:t xml:space="preserve"> </w:t>
      </w:r>
      <w:r>
        <w:t xml:space="preserve">0 kg CO2e/unit (As detailed in Section 2.2, direct operational emissions at the factory are considered negligible or implicitly accounted for elsewhere without specific data).</w:t>
      </w:r>
    </w:p>
    <w:p>
      <w:pPr>
        <w:numPr>
          <w:ilvl w:val="0"/>
          <w:numId w:val="1014"/>
        </w:numPr>
        <w:pStyle w:val="Compact"/>
      </w:pPr>
      <w:r>
        <w:rPr>
          <w:bCs/>
          <w:b/>
        </w:rPr>
        <w:t xml:space="preserve">Scope 2 Emissions:</w:t>
      </w:r>
      <w:r>
        <w:t xml:space="preserve"> </w:t>
      </w:r>
      <w:r>
        <w:t xml:space="preserve">6.72 kg CO2e/unit (From purchased electricity for manufacturing).</w:t>
      </w:r>
    </w:p>
    <w:p>
      <w:pPr>
        <w:numPr>
          <w:ilvl w:val="0"/>
          <w:numId w:val="1014"/>
        </w:numPr>
        <w:pStyle w:val="Compact"/>
      </w:pPr>
      <w:r>
        <w:rPr>
          <w:bCs/>
          <w:b/>
        </w:rPr>
        <w:t xml:space="preserve">Scope 3 Emissions:</w:t>
      </w:r>
    </w:p>
    <w:p>
      <w:pPr>
        <w:numPr>
          <w:ilvl w:val="1"/>
          <w:numId w:val="1015"/>
        </w:numPr>
        <w:pStyle w:val="Compact"/>
      </w:pPr>
      <w:r>
        <w:t xml:space="preserve">Upstream (Category 1 &amp; 4): 7.05 (Materials) + 0.138 (Upstream Transport) = 7.188 kg CO2e/unit</w:t>
      </w:r>
    </w:p>
    <w:p>
      <w:pPr>
        <w:numPr>
          <w:ilvl w:val="1"/>
          <w:numId w:val="1015"/>
        </w:numPr>
        <w:pStyle w:val="Compact"/>
      </w:pPr>
      <w:r>
        <w:t xml:space="preserve">Downstream (Category 9, 11, 12): 0.023 (Downstream Transport) + 12.5 (Use Phase) + 0.4139 (EoL) = 12.9369 kg CO2e/unit</w:t>
      </w:r>
    </w:p>
    <w:p>
      <w:pPr>
        <w:numPr>
          <w:ilvl w:val="1"/>
          <w:numId w:val="1015"/>
        </w:numPr>
        <w:pStyle w:val="Compact"/>
      </w:pPr>
      <w:r>
        <w:rPr>
          <w:bCs/>
          <w:b/>
        </w:rPr>
        <w:t xml:space="preserve">Total Scope 3:</w:t>
      </w:r>
      <w:r>
        <w:t xml:space="preserve"> </w:t>
      </w:r>
      <w:r>
        <w:t xml:space="preserve">7.188 + 12.9369 = 20.1249 kg CO2e/unit</w:t>
      </w:r>
    </w:p>
    <w:p>
      <w:pPr>
        <w:pStyle w:val="FirstParagraph"/>
      </w:pPr>
      <w:r>
        <w:rPr>
          <w:bCs/>
          <w:b/>
        </w:rPr>
        <w:t xml:space="preserve">Total PCF (Scope 1 + Scope 2 + Scope 3) = 0 + 6.72 + 20.1249 = 26.8449 kg CO2e/unit</w:t>
      </w:r>
    </w:p>
    <w:bookmarkEnd w:id="35"/>
    <w:bookmarkStart w:id="36" w:name="land-sector-and-removals-lsr-update"/>
    <w:p>
      <w:pPr>
        <w:pStyle w:val="Heading3"/>
      </w:pPr>
      <w:r>
        <w:t xml:space="preserve">4.4. 2026 Land Sector and Removals (LSR) Update</w:t>
      </w:r>
    </w:p>
    <w:p>
      <w:pPr>
        <w:pStyle w:val="FirstParagraph"/>
      </w:pPr>
      <w:r>
        <w:t xml:space="preserve">The GHG Protocol\'s Land Sector and Removals (LSR) Standard, effective January 1, 2027, provides comprehensive guidance for accounting for land emissions and CO2 removals. While the accompanying guidance is expected in Q2 2026, the standard applies to entities with significant land sector activities or those choosing to report CO2 removals. For nmfukloqpe, without specific land-use related materials (e.g., bio-based materials, agricultural products) or direct land ownership/management in the provided parameters, direct application of the LSR Standard is limited. However, future iterations of this PCF analysis would assess the land-use impacts of raw materials if applicable, particularly for bio-based inputs or materials sourced from regions with significant land-use change.</w:t>
      </w:r>
    </w:p>
    <w:bookmarkEnd w:id="36"/>
    <w:bookmarkStart w:id="37" w:name="scope-3-compliance-2026-requirements"/>
    <w:p>
      <w:pPr>
        <w:pStyle w:val="Heading3"/>
      </w:pPr>
      <w:r>
        <w:t xml:space="preserve">4.5. Scope 3 Compliance (2026 Requirements)</w:t>
      </w:r>
    </w:p>
    <w:p>
      <w:pPr>
        <w:pStyle w:val="FirstParagraph"/>
      </w:pPr>
      <w:r>
        <w:t xml:space="preserve">The 2026 GHG Protocol Scope 3 requirements emphasize enhanced completeness, mandating companies to account for at least 95% of total relevant Scope 3 emissions to claim conformance. This analysis endeavors to achieve this by incorporating all provided parameters into the Scope 3 calculations (materials, all transport, use phase, and end-of-life). The detailed breakdown of emissions across these categories suggests a high level of coverage. Any potential exclusions would need to be thoroughly justified and demonstrated to be immaterial, as per the updated guidance. This report has covered all specified Scope 3 categories: Category 1 (Purchased Goods and Services), Category 4 (Upstream Transportation and Distribution), Category 9 (Downstream Transportation and Distribution), Category 11 (Use of Sold Products), and Category 12 (End-of-Life Treatment of Sold Products).</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identification"/>
    <w:p>
      <w:pPr>
        <w:pStyle w:val="Heading3"/>
      </w:pPr>
      <w:r>
        <w:t xml:space="preserve">5.1. Hotspots Identification</w:t>
      </w:r>
    </w:p>
    <w:p>
      <w:pPr>
        <w:pStyle w:val="FirstParagraph"/>
      </w:pPr>
      <w:r>
        <w:t xml:space="preserve">Based on the calculations, the primary carbon hotspots for nmfukloqpe are:</w:t>
      </w:r>
    </w:p>
    <w:p>
      <w:pPr>
        <w:numPr>
          <w:ilvl w:val="0"/>
          <w:numId w:val="1016"/>
        </w:numPr>
        <w:pStyle w:val="Compact"/>
      </w:pPr>
      <w:r>
        <w:rPr>
          <w:bCs/>
          <w:b/>
        </w:rPr>
        <w:t xml:space="preserve">Use Phase (Scope 3):</w:t>
      </w:r>
      <w:r>
        <w:t xml:space="preserve"> </w:t>
      </w:r>
      <w:r>
        <w:t xml:space="preserve">12.5 kg CO2e, representing approximately 46.6% of the total PCF. This is largely due to the energy consumption over the product\'s 5-year lifespan.</w:t>
      </w:r>
    </w:p>
    <w:p>
      <w:pPr>
        <w:numPr>
          <w:ilvl w:val="0"/>
          <w:numId w:val="1016"/>
        </w:numPr>
        <w:pStyle w:val="Compact"/>
      </w:pPr>
      <w:r>
        <w:rPr>
          <w:bCs/>
          <w:b/>
        </w:rPr>
        <w:t xml:space="preserve">Manufacturing Energy (Scope 2):</w:t>
      </w:r>
      <w:r>
        <w:t xml:space="preserve"> </w:t>
      </w:r>
      <w:r>
        <w:t xml:space="preserve">6.72 kg CO2e, representing approximately 25.0% of the total PCF. This highlights the impact of grid electricity in China.</w:t>
      </w:r>
    </w:p>
    <w:p>
      <w:pPr>
        <w:numPr>
          <w:ilvl w:val="0"/>
          <w:numId w:val="1016"/>
        </w:numPr>
        <w:pStyle w:val="Compact"/>
      </w:pPr>
      <w:r>
        <w:rPr>
          <w:bCs/>
          <w:b/>
        </w:rPr>
        <w:t xml:space="preserve">Materials Acquisition (Scope 3):</w:t>
      </w:r>
      <w:r>
        <w:t xml:space="preserve"> </w:t>
      </w:r>
      <w:r>
        <w:t xml:space="preserve">7.05 kg CO2e, representing approximately 26.3% of the total PCF. Materials like Aluminium and Circuit Boards contribute significantly here.</w:t>
      </w:r>
    </w:p>
    <w:p>
      <w:pPr>
        <w:pStyle w:val="FirstParagraph"/>
      </w:pPr>
      <w:r>
        <w:t xml:space="preserve">These three areas collectively account for over 97% of the total product carbon footprint, making them prime targets for emission reduction strategies.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and customized energy usage. However, some limitations exist:</w:t>
      </w:r>
    </w:p>
    <w:p>
      <w:pPr>
        <w:numPr>
          <w:ilvl w:val="0"/>
          <w:numId w:val="1017"/>
        </w:numPr>
        <w:pStyle w:val="Compact"/>
      </w:pPr>
      <w:r>
        <w:rPr>
          <w:bCs/>
          <w:b/>
        </w:rPr>
        <w:t xml:space="preserve">Emission Factors:</w:t>
      </w:r>
      <w:r>
        <w:t xml:space="preserve"> </w:t>
      </w:r>
      <w:r>
        <w:t xml:space="preserve">While material-specific "Total Carbon" was provided, other emission factors for transport, grid electricity, and end-of-life scenarios are based on industry-standard estimates (e.g., from Climatiq, EPA, DEFRA where available) and general averages for the specified regions (China grid mix, EU grid mix). More specific, supplier-specific, or process-specific emission factors would further enhance accuracy.</w:t>
      </w:r>
    </w:p>
    <w:p>
      <w:pPr>
        <w:numPr>
          <w:ilvl w:val="0"/>
          <w:numId w:val="1017"/>
        </w:numPr>
        <w:pStyle w:val="Compact"/>
      </w:pPr>
      <w:r>
        <w:rPr>
          <w:bCs/>
          <w:b/>
        </w:rPr>
        <w:t xml:space="preserve">Transport Modes:</w:t>
      </w:r>
      <w:r>
        <w:t xml:space="preserve"> </w:t>
      </w:r>
      <w:r>
        <w:t xml:space="preserve">"Select Mode" and "Delivery Type" were placeholders, requiring reasonable assumptions (Road Freight HGV, LCV). Actual transport logistics could involve different modes (e.g., rail, sea, air freight) with varying impacts.</w:t>
      </w:r>
    </w:p>
    <w:p>
      <w:pPr>
        <w:numPr>
          <w:ilvl w:val="0"/>
          <w:numId w:val="1017"/>
        </w:numPr>
        <w:pStyle w:val="Compact"/>
      </w:pPr>
      <w:r>
        <w:rPr>
          <w:bCs/>
          <w:b/>
        </w:rPr>
        <w:t xml:space="preserve">Scope 1 Emissions:</w:t>
      </w:r>
      <w:r>
        <w:t xml:space="preserve"> </w:t>
      </w:r>
      <w:r>
        <w:t xml:space="preserve">Assumed negligible at the manufacturing stage without specific fuel consumption data.</w:t>
      </w:r>
    </w:p>
    <w:p>
      <w:pPr>
        <w:numPr>
          <w:ilvl w:val="0"/>
          <w:numId w:val="1017"/>
        </w:numPr>
        <w:pStyle w:val="Compact"/>
      </w:pPr>
      <w:r>
        <w:rPr>
          <w:bCs/>
          <w:b/>
        </w:rPr>
        <w:t xml:space="preserve">LSR Standard:</w:t>
      </w:r>
      <w:r>
        <w:t xml:space="preserve"> </w:t>
      </w:r>
      <w:r>
        <w:t xml:space="preserve">While acknowledged, specific data for land-use change or carbon removals associated with the product\'s materials were not provided, limiting its detailed application in this particular report. The full guidance for the LSR Standard is also anticipated in Q2 2026.</w:t>
      </w:r>
    </w:p>
    <w:p>
      <w:pPr>
        <w:numPr>
          <w:ilvl w:val="0"/>
          <w:numId w:val="1017"/>
        </w:numPr>
        <w:pStyle w:val="Compact"/>
      </w:pPr>
      <w:r>
        <w:rPr>
          <w:bCs/>
          <w:b/>
        </w:rPr>
        <w:t xml:space="preserve">Data Granularity:</w:t>
      </w:r>
      <w:r>
        <w:t xml:space="preserve"> </w:t>
      </w:r>
      <w:r>
        <w:t xml:space="preserve">The extent of primary data beyond the BOM was limited to the provided parameters. A more detailed PCF would benefit from primary data across all lifecycle stages.</w:t>
      </w:r>
    </w:p>
    <w:bookmarkEnd w:id="40"/>
    <w:bookmarkStart w:id="41" w:name="recommendations-for-emission-reduction"/>
    <w:p>
      <w:pPr>
        <w:pStyle w:val="Heading3"/>
      </w:pPr>
      <w:r>
        <w:t xml:space="preserve">5.3. Recommendations for Emission Reduction</w:t>
      </w:r>
    </w:p>
    <w:p>
      <w:pPr>
        <w:numPr>
          <w:ilvl w:val="0"/>
          <w:numId w:val="1018"/>
        </w:numPr>
        <w:pStyle w:val="Compact"/>
      </w:pPr>
      <w:r>
        <w:rPr>
          <w:bCs/>
          <w:b/>
        </w:rPr>
        <w:t xml:space="preserve">Optimize Use Phase:</w:t>
      </w:r>
      <w:r>
        <w:t xml:space="preserve"> </w:t>
      </w:r>
      <w:r>
        <w:t xml:space="preserve">Invest in energy-efficient product design to reduce energy consumption during the product\'s lifespan. Educate consumers on efficient usage and maintenance.</w:t>
      </w:r>
    </w:p>
    <w:p>
      <w:pPr>
        <w:numPr>
          <w:ilvl w:val="0"/>
          <w:numId w:val="1018"/>
        </w:numPr>
        <w:pStyle w:val="Compact"/>
      </w:pPr>
      <w:r>
        <w:rPr>
          <w:bCs/>
          <w:b/>
        </w:rPr>
        <w:t xml:space="preserve">Decarbonize Manufacturing Energy:</w:t>
      </w:r>
      <w:r>
        <w:t xml:space="preserve"> </w:t>
      </w:r>
      <w:r>
        <w:t xml:space="preserve">Increase the percentage of renewable energy (fxozulzmsl) used at the production facility in China beyond 40%. Explore Power Purchase Agreements (PPAs) for renewable electricity or on-site renewable energy generation.</w:t>
      </w:r>
    </w:p>
    <w:p>
      <w:pPr>
        <w:numPr>
          <w:ilvl w:val="0"/>
          <w:numId w:val="1018"/>
        </w:numPr>
        <w:pStyle w:val="Compact"/>
      </w:pPr>
      <w:r>
        <w:rPr>
          <w:bCs/>
          <w:b/>
        </w:rPr>
        <w:t xml:space="preserve">Material Optimization:</w:t>
      </w:r>
      <w:r>
        <w:t xml:space="preserve"> </w:t>
      </w:r>
      <w:r>
        <w:t xml:space="preserve">Explore alternative, lower-carbon materials for the Aluminium Casing and Circuit Board, or increase the recycled content of materials where possible (e.g., using Hydro CIRCAL for aluminium, which has a significantly lower carbon footprint).</w:t>
      </w:r>
    </w:p>
    <w:p>
      <w:pPr>
        <w:numPr>
          <w:ilvl w:val="0"/>
          <w:numId w:val="1018"/>
        </w:numPr>
        <w:pStyle w:val="Compact"/>
      </w:pPr>
      <w:r>
        <w:rPr>
          <w:bCs/>
          <w:b/>
        </w:rPr>
        <w:t xml:space="preserve">Supply Chain Engagement:</w:t>
      </w:r>
      <w:r>
        <w:t xml:space="preserve"> </w:t>
      </w:r>
      <w:r>
        <w:t xml:space="preserve">Work with suppliers to reduce the embodied emissions of purchased goods and services, particularly for high-impact components.</w:t>
      </w:r>
    </w:p>
    <w:p>
      <w:pPr>
        <w:numPr>
          <w:ilvl w:val="0"/>
          <w:numId w:val="1018"/>
        </w:numPr>
        <w:pStyle w:val="Compact"/>
      </w:pPr>
      <w:r>
        <w:rPr>
          <w:bCs/>
          <w:b/>
        </w:rPr>
        <w:t xml:space="preserve">Logistics Efficiency:</w:t>
      </w:r>
      <w:r>
        <w:t xml:space="preserve"> </w:t>
      </w:r>
      <w:r>
        <w:t xml:space="preserve">Optimize transport routes, explore lower-emission transport modes (e.g., rail or sea freight for bulk materials), and maximize load factors for both upstream and downstream logistics.</w:t>
      </w:r>
    </w:p>
    <w:p>
      <w:pPr>
        <w:numPr>
          <w:ilvl w:val="0"/>
          <w:numId w:val="1018"/>
        </w:numPr>
        <w:pStyle w:val="Compact"/>
      </w:pPr>
      <w:r>
        <w:rPr>
          <w:bCs/>
          <w:b/>
        </w:rPr>
        <w:t xml:space="preserve">Circular Economy Initiatives:</w:t>
      </w:r>
      <w:r>
        <w:t xml:space="preserve"> </w:t>
      </w:r>
      <w:r>
        <w:t xml:space="preserve">Enhance take-back programs (geugqnxhwh) to ensure higher collection and recycling rates (emdxnoysko), and investigate closed-loop recycling opportunities to minimize virgin material demand.</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nmfukloqpe</dc:title>
  <dc:creator/>
  <dc:description>High-detail Product Carbon Footprint (PCF) analysis for product nmfukloqpe, following GHG Protocol standards and 2026 updates, conducted by Senior Sustainability Consultant otdjflskpv for company xkispjzgig.</dc:description>
  <dc:language>en</dc:language>
  <cp:keywords/>
  <dcterms:created xsi:type="dcterms:W3CDTF">2026-05-30T13:40:32Z</dcterms:created>
  <dcterms:modified xsi:type="dcterms:W3CDTF">2026-05-30T13:40:32Z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