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nkthvxommw</w:t>
      </w:r>
      <w:r>
        <w:t xml:space="preserve"> </w:t>
      </w:r>
      <w:r>
        <w:t xml:space="preserve">-</w:t>
      </w:r>
      <w:r>
        <w:t xml:space="preserve"> </w:t>
      </w:r>
      <w:r>
        <w:t xml:space="preserve">peoyyqdzzr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nkthvxommw</w:t>
      </w:r>
    </w:p>
    <w:p>
      <w:pPr>
        <w:pStyle w:val="BodyText"/>
      </w:pPr>
      <w:r>
        <w:t xml:space="preserve">Company: peoyyqdzzr</w:t>
      </w:r>
    </w:p>
    <w:p>
      <w:pPr>
        <w:pStyle w:val="BodyText"/>
      </w:pPr>
      <w:r>
        <w:t xml:space="preserve">Prepared by: pnjkmttykp, Senior Sustainability Consultant</w:t>
      </w:r>
    </w:p>
    <w:p>
      <w:pPr>
        <w:pStyle w:val="BodyText"/>
      </w:pPr>
      <w:r>
        <w:t xml:space="preserve">Accounting Standard: GHG Protocol</w:t>
      </w:r>
    </w:p>
    <w:p>
      <w:pPr>
        <w:pStyle w:val="BodyText"/>
      </w:pPr>
      <w:r>
        <w:t xml:space="preserve">Disclaimer: This report is generated based on available data and industry standards. All specific numerical parameters (e.g., BOM details, transport distances, energy consumption) not directly provided in a parseable format by the user, but only as placeholder strings, have been augmented with illustrative, plausible values to demonstrate the methodology. These illustrative values should be replaced with actual company-specific data for a definitive assessment.</w:t>
      </w:r>
    </w:p>
    <w:bookmarkEnd w:id="20"/>
    <w:p>
      <w:pPr>
        <w:pStyle w:val="BodyText"/>
      </w:pPr>
      <w:r>
        <w:t xml:space="preserve">Product Carbon Footprint Report - nkthvxommw | Generated Date: June 3, 2026</w:t>
      </w:r>
    </w:p>
    <w:bookmarkStart w:id="43" w:name="executive-summary"/>
    <w:p>
      <w:pPr>
        <w:pStyle w:val="Heading1"/>
      </w:pPr>
      <w:r>
        <w:t xml:space="preserve">Executive Summary</w:t>
      </w:r>
    </w:p>
    <w:p>
      <w:pPr>
        <w:pStyle w:val="FirstParagraph"/>
      </w:pPr>
      <w:r>
        <w:t xml:space="preserve">This report presents a high-detail Product Carbon Footprint (PCF) analysis for \'nkthvxommw\' manufactured by \'peoyyqdzzr\', conducted by pnjkmttykp, Senior Sustainability Consultant. The analysis adheres to the Greenhouse Gas (GHG) Protocol standards, including the latest 2026 Land Sector and Removals (LSR) update and stringent Scope 3 compliance requirements. The primary objective is to quantify the lifecycle greenhouse gas emissions associated with one functional unit of the product, identify emission hotspots, and provide a foundation for future decarbonization strategies. This assessment covers emissions across the product\'s entire lifecycle: material acquisition, manufacturing, transportation, use, and end-of-life.</w:t>
      </w:r>
    </w:p>
    <w:p>
      <w:r>
        <w:pict>
          <v:rect style="width:0;height:1.5pt" o:hralign="center" o:hrstd="t" o:hr="t"/>
        </w:pict>
      </w:r>
    </w:p>
    <w:bookmarkStart w:id="23" w:name="methodology-and-scope-definition"/>
    <w:p>
      <w:pPr>
        <w:pStyle w:val="Heading2"/>
      </w:pPr>
      <w:r>
        <w:t xml:space="preserve">1. Methodology and Scope Definition</w:t>
      </w:r>
    </w:p>
    <w:p>
      <w:pPr>
        <w:pStyle w:val="FirstParagraph"/>
      </w:pPr>
      <w:r>
        <w:t xml:space="preserve">The Product Carbon Footprint (PCF) analysis was performed following the five-step methodology: Define Scope, Map Lifecycle, Collect Data, Calculate Emissions, and Review &amp; Report.</w:t>
      </w:r>
    </w:p>
    <w:bookmarkStart w:id="21"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nkthvxommw. This represents the reference unit to which all inputs and outputs are related.</w:t>
      </w:r>
    </w:p>
    <w:p>
      <w:pPr>
        <w:numPr>
          <w:ilvl w:val="0"/>
          <w:numId w:val="1001"/>
        </w:numPr>
        <w:pStyle w:val="Compact"/>
      </w:pPr>
      <w:r>
        <w:rPr>
          <w:bCs/>
          <w:b/>
        </w:rPr>
        <w:t xml:space="preserve">System Boundary:</w:t>
      </w:r>
      <w:r>
        <w:t xml:space="preserve"> </w:t>
      </w:r>
      <w:r>
        <w:t xml:space="preserve">factory_gate. This implies that the core manufacturing processes and associated upstream and downstream activities are included. For this detailed PCF, a "cradle-to-grave" approach is effectively applied, extending beyond the factory gate to include transport, use, and end-of-life phases, as specified in the parameters.</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regional electricity grid mixes and transport routes considered.</w:t>
      </w:r>
    </w:p>
    <w:p>
      <w:pPr>
        <w:numPr>
          <w:ilvl w:val="0"/>
          <w:numId w:val="1001"/>
        </w:numPr>
        <w:pStyle w:val="Compact"/>
      </w:pPr>
      <w:r>
        <w:rPr>
          <w:bCs/>
          <w:b/>
        </w:rPr>
        <w:t xml:space="preserve">Accounting Standard:</w:t>
      </w:r>
      <w:r>
        <w:t xml:space="preserve"> </w:t>
      </w:r>
      <w:r>
        <w:t xml:space="preserve">GHG Protocol. The analysis categorizes emissions into Scope 1 (direct), Scope 2 (purchased energy), and Scope 3 (value chain) as defined by the GHG Protocol.</w:t>
      </w:r>
    </w:p>
    <w:p>
      <w:pPr>
        <w:numPr>
          <w:ilvl w:val="0"/>
          <w:numId w:val="1001"/>
        </w:numPr>
        <w:pStyle w:val="Compact"/>
      </w:pPr>
      <w:r>
        <w:rPr>
          <w:bCs/>
          <w:b/>
        </w:rPr>
        <w:t xml:space="preserve">Allocation:</w:t>
      </w:r>
      <w:r>
        <w:t xml:space="preserve"> </w:t>
      </w:r>
      <w:r>
        <w:t xml:space="preserve">Emissions are directly attributed to the functional unit. No co-product allocation is considered given the single product focus.</w:t>
      </w:r>
    </w:p>
    <w:bookmarkEnd w:id="21"/>
    <w:bookmarkStart w:id="22" w:name="key-ghg-protocol-updates-2026"/>
    <w:p>
      <w:pPr>
        <w:pStyle w:val="Heading3"/>
      </w:pPr>
      <w:r>
        <w:t xml:space="preserve">1.2. Key GHG Protocol Updates (2026)</w:t>
      </w:r>
    </w:p>
    <w:p>
      <w:pPr>
        <w:numPr>
          <w:ilvl w:val="0"/>
          <w:numId w:val="1002"/>
        </w:numPr>
        <w:pStyle w:val="Compact"/>
      </w:pPr>
      <w:r>
        <w:rPr>
          <w:bCs/>
          <w:b/>
        </w:rPr>
        <w:t xml:space="preserve">GHG Protocol Scopes:</w:t>
      </w:r>
    </w:p>
    <w:p>
      <w:pPr>
        <w:numPr>
          <w:ilvl w:val="1"/>
          <w:numId w:val="1003"/>
        </w:numPr>
        <w:pStyle w:val="Compact"/>
      </w:pPr>
      <w:r>
        <w:rPr>
          <w:bCs/>
          <w:b/>
        </w:rPr>
        <w:t xml:space="preserve">Scope 1:</w:t>
      </w:r>
      <w:r>
        <w:t xml:space="preserve"> </w:t>
      </w:r>
      <w:r>
        <w:t xml:space="preserve">Direct GHG emissions from sources owned or controlled by the company. For a product PCF at a factory_gate boundary, these would typically include on-site fuel combustion. Given the "Final Production Country: China" and no specific direct emissions data for peoyyqdzzr\'s factory operations, we assume these emissions are indirect (Scope 3) if not directly owned, or negligible at the product level if not specified.</w:t>
      </w:r>
    </w:p>
    <w:p>
      <w:pPr>
        <w:numPr>
          <w:ilvl w:val="1"/>
          <w:numId w:val="1003"/>
        </w:numPr>
        <w:pStyle w:val="Compact"/>
      </w:pPr>
      <w:r>
        <w:rPr>
          <w:bCs/>
          <w:b/>
        </w:rPr>
        <w:t xml:space="preserve">Scope 2:</w:t>
      </w:r>
      <w:r>
        <w:t xml:space="preserve"> </w:t>
      </w:r>
      <w:r>
        <w:t xml:space="preserve">Indirect GHG emissions from the generation of purchased electricity, steam, heat, or cooling consumed by the company. For this PCF, it primarily covers purchased electricity for manufacturing in China.</w:t>
      </w:r>
    </w:p>
    <w:p>
      <w:pPr>
        <w:numPr>
          <w:ilvl w:val="1"/>
          <w:numId w:val="1003"/>
        </w:numPr>
        <w:pStyle w:val="Compact"/>
      </w:pPr>
      <w:r>
        <w:rPr>
          <w:bCs/>
          <w:b/>
        </w:rPr>
        <w:t xml:space="preserve">Scope 3:</w:t>
      </w:r>
      <w:r>
        <w:t xml:space="preserve"> </w:t>
      </w:r>
      <w:r>
        <w:t xml:space="preserve">All other indirect emissions in the value chain, both upstream and downstream. This forms the largest part of this PCF, covering materials, transport, use, and end-of-life.</w:t>
      </w:r>
    </w:p>
    <w:p>
      <w:pPr>
        <w:numPr>
          <w:ilvl w:val="0"/>
          <w:numId w:val="1002"/>
        </w:numPr>
        <w:pStyle w:val="Compact"/>
      </w:pPr>
      <w:r>
        <w:rPr>
          <w:bCs/>
          <w:b/>
        </w:rPr>
        <w:t xml:space="preserve">2026 LSR Update:</w:t>
      </w:r>
      <w:r>
        <w:t xml:space="preserve"> </w:t>
      </w:r>
      <w:r>
        <w:t xml:space="preserve">The Land Sector and Removals (LSR) Standard, effective January 1, 2027, provides requirements and guidance for accounting for land sector emissions and carbon removals from agricultural and land use activities, as well as technological CO₂ removals. While direct land-use change is not a primary driver for \'nkthvxommw\' manufacturing, the principles of rigorous accounting for removals and land-based impacts inform data quality and transparency expectations across the supply chain, particularly for bio-based materials (if applicable) or packaging.</w:t>
      </w:r>
    </w:p>
    <w:p>
      <w:pPr>
        <w:numPr>
          <w:ilvl w:val="0"/>
          <w:numId w:val="1002"/>
        </w:numPr>
        <w:pStyle w:val="Compact"/>
      </w:pPr>
      <w:r>
        <w:rPr>
          <w:bCs/>
          <w:b/>
        </w:rPr>
        <w:t xml:space="preserve">Scope 3 Compliance:</w:t>
      </w:r>
      <w:r>
        <w:t xml:space="preserve"> </w:t>
      </w:r>
      <w:r>
        <w:t xml:space="preserve">The 2026 revisions to the Scope 3 Standard emphasize a new requirement for at least 95% coverage of required Scope 3 emissions for compliance, along with mandatory disaggregation of reported emissions data by data type (primary vs. secondary). This analysis aims for comprehensive coverage and highlights data sources where possible.</w:t>
      </w:r>
    </w:p>
    <w:p>
      <w:r>
        <w:pict>
          <v:rect style="width:0;height:1.5pt" o:hralign="center" o:hrstd="t" o:hr="t"/>
        </w:pict>
      </w:r>
    </w:p>
    <w:bookmarkEnd w:id="22"/>
    <w:bookmarkEnd w:id="23"/>
    <w:bookmarkStart w:id="29" w:name="lifecycle-mapping-and-data-collection"/>
    <w:p>
      <w:pPr>
        <w:pStyle w:val="Heading2"/>
      </w:pPr>
      <w:r>
        <w:t xml:space="preserve">2. Lifecycle Mapping and Data Collection</w:t>
      </w:r>
    </w:p>
    <w:p>
      <w:pPr>
        <w:pStyle w:val="FirstParagraph"/>
      </w:pPr>
      <w:r>
        <w:t xml:space="preserve">This section details the inputs and outputs for each lifecycle stage, emphasizing the provided parameters and incorporating illustrative data where specific values were indicated by placeholders.</w:t>
      </w:r>
    </w:p>
    <w:bookmarkStart w:id="24" w:name="X43ca8f1a9255f81131fda692e8833e747764080"/>
    <w:p>
      <w:pPr>
        <w:pStyle w:val="Heading3"/>
      </w:pPr>
      <w:r>
        <w:t xml:space="preserve">2.1. Detailed Bill of Materials (BOM) - furrqlme (Illustrative Data)</w:t>
      </w:r>
    </w:p>
    <w:p>
      <w:pPr>
        <w:pStyle w:val="FirstParagraph"/>
      </w:pPr>
      <w:r>
        <w:t xml:space="preserve">The user provided \'furrqlme\' as the Detailed Bill of Materials. As this is a placeholder string and not a parseable data set, illustrative BOM data adhering to the specified format (ID, Description, Category, Process, Qty, Unit, Emission Factor, Total Carbon) has been generated to demonstrate the calculation methodology. For a precise PCF, actual, verified BOM data should be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30.0</w:t>
            </w:r>
          </w:p>
        </w:tc>
        <w:tc>
          <w:tcPr/>
          <w:p>
            <w:pPr>
              <w:pStyle w:val="Compact"/>
              <w:jc w:val="left"/>
            </w:pPr>
            <w:r>
              <w:t xml:space="preserve">3.00</w:t>
            </w:r>
          </w:p>
        </w:tc>
      </w:tr>
    </w:tbl>
    <w:p>
      <w:pPr>
        <w:pStyle w:val="BodyText"/>
      </w:pPr>
      <w:r>
        <w:rPr>
          <w:bCs/>
          <w:b/>
        </w:rPr>
        <w:t xml:space="preserve">Total Material Impact (Illustrative):</w:t>
      </w:r>
      <w:r>
        <w:t xml:space="preserve"> </w:t>
      </w:r>
      <w:r>
        <w:t xml:space="preserve">10.95 kg CO2e</w:t>
      </w:r>
    </w:p>
    <w:bookmarkEnd w:id="24"/>
    <w:bookmarkStart w:id="25" w:name="manufacturingproduction-phase-data"/>
    <w:p>
      <w:pPr>
        <w:pStyle w:val="Heading3"/>
      </w:pPr>
      <w:r>
        <w:t xml:space="preserve">2.2. Manufacturing/Production Phase Data</w:t>
      </w:r>
    </w:p>
    <w:p>
      <w:pPr>
        <w:numPr>
          <w:ilvl w:val="0"/>
          <w:numId w:val="1004"/>
        </w:numPr>
        <w:pStyle w:val="Compact"/>
      </w:pPr>
      <w:r>
        <w:rPr>
          <w:bCs/>
          <w:b/>
        </w:rPr>
        <w:t xml:space="preserve">Energy Intensity (kWh/unit):</w:t>
      </w:r>
      <w:r>
        <w:t xml:space="preserve"> </w:t>
      </w:r>
      <w:r>
        <w:t xml:space="preserve">tmmetvumnw. Illustrative value: 25 kWh/unit.</w:t>
      </w:r>
    </w:p>
    <w:p>
      <w:pPr>
        <w:numPr>
          <w:ilvl w:val="0"/>
          <w:numId w:val="1004"/>
        </w:numPr>
        <w:pStyle w:val="Compact"/>
      </w:pPr>
      <w:r>
        <w:rPr>
          <w:bCs/>
          <w:b/>
        </w:rPr>
        <w:t xml:space="preserve">Renewable Energy Usage:</w:t>
      </w:r>
      <w:r>
        <w:t xml:space="preserve"> </w:t>
      </w:r>
      <w:r>
        <w:t xml:space="preserve">dspeogpghi. Illustrative value: 50%.</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Electricity Grid Emission Factor (China):</w:t>
      </w:r>
      <w:r>
        <w:t xml:space="preserve"> </w:t>
      </w:r>
      <w:r>
        <w:t xml:space="preserve">For China, an average grid emission factor of 0.556 kg CO2e/kWh (2019 data) will be used, recognizing that provincial factors can vary.</w:t>
      </w:r>
    </w:p>
    <w:bookmarkEnd w:id="25"/>
    <w:bookmarkStart w:id="26" w:name="transportation-data"/>
    <w:p>
      <w:pPr>
        <w:pStyle w:val="Heading3"/>
      </w:pPr>
      <w:r>
        <w:t xml:space="preserve">2.3. Transportation Data</w:t>
      </w:r>
    </w:p>
    <w:p>
      <w:pPr>
        <w:pStyle w:val="FirstParagraph"/>
      </w:pPr>
      <w:r>
        <w:t xml:space="preserve">The following illustrative logistics data has been used:</w:t>
      </w:r>
    </w:p>
    <w:p>
      <w:pPr>
        <w:numPr>
          <w:ilvl w:val="0"/>
          <w:numId w:val="1005"/>
        </w:numPr>
        <w:pStyle w:val="Compact"/>
      </w:pPr>
      <w:r>
        <w:rPr>
          <w:bCs/>
          <w:b/>
        </w:rPr>
        <w:t xml:space="preserve">Product Weight for Transport:</w:t>
      </w:r>
      <w:r>
        <w:t xml:space="preserve"> </w:t>
      </w:r>
      <w:r>
        <w:t xml:space="preserve">Based on illustrative BOM, assumed 0.95 kg.</w:t>
      </w:r>
    </w:p>
    <w:p>
      <w:pPr>
        <w:numPr>
          <w:ilvl w:val="0"/>
          <w:numId w:val="1005"/>
        </w:numPr>
        <w:pStyle w:val="Compact"/>
      </w:pPr>
      <w:r>
        <w:rPr>
          <w:bCs/>
          <w:b/>
        </w:rPr>
        <w:t xml:space="preserve">Upstream Transport (Materials to Factory):</w:t>
      </w:r>
    </w:p>
    <w:p>
      <w:pPr>
        <w:numPr>
          <w:ilvl w:val="1"/>
          <w:numId w:val="1006"/>
        </w:numPr>
        <w:pStyle w:val="Compact"/>
      </w:pPr>
      <w:r>
        <w:rPr>
          <w:bCs/>
          <w:b/>
        </w:rPr>
        <w:t xml:space="preserve">Transport Mode:</w:t>
      </w:r>
      <w:r>
        <w:t xml:space="preserve"> </w:t>
      </w:r>
      <w:r>
        <w:t xml:space="preserve">Select Mode (Illustrative: Ocean Freight for long haul, Road Freight for regional).</w:t>
      </w:r>
    </w:p>
    <w:p>
      <w:pPr>
        <w:numPr>
          <w:ilvl w:val="1"/>
          <w:numId w:val="1006"/>
        </w:numPr>
        <w:pStyle w:val="Compact"/>
      </w:pPr>
      <w:r>
        <w:rPr>
          <w:bCs/>
          <w:b/>
        </w:rPr>
        <w:t xml:space="preserve">Transport Distance:</w:t>
      </w:r>
      <w:r>
        <w:t xml:space="preserve"> </w:t>
      </w:r>
      <w:r>
        <w:t xml:space="preserve">msurpuygoj (Illustrative: Ocean Freight: 8,000 km, Road Freight: 500 km).</w:t>
      </w:r>
    </w:p>
    <w:p>
      <w:pPr>
        <w:numPr>
          <w:ilvl w:val="1"/>
          <w:numId w:val="1006"/>
        </w:numPr>
        <w:pStyle w:val="Compact"/>
      </w:pPr>
      <w:r>
        <w:rPr>
          <w:bCs/>
          <w:b/>
        </w:rPr>
        <w:t xml:space="preserve">Emission Factor (Ocean Freight):</w:t>
      </w:r>
      <w:r>
        <w:t xml:space="preserve"> </w:t>
      </w:r>
      <w:r>
        <w:t xml:space="preserve">0.016 kg CO2e/tonne-km.</w:t>
      </w:r>
    </w:p>
    <w:p>
      <w:pPr>
        <w:numPr>
          <w:ilvl w:val="1"/>
          <w:numId w:val="1006"/>
        </w:numPr>
        <w:pStyle w:val="Compact"/>
      </w:pPr>
      <w:r>
        <w:rPr>
          <w:bCs/>
          <w:b/>
        </w:rPr>
        <w:t xml:space="preserve">Emission Factor (Road Freight):</w:t>
      </w:r>
      <w:r>
        <w:t xml:space="preserve"> </w:t>
      </w:r>
      <w:r>
        <w:t xml:space="preserve">0.062 kg CO2e/tonne-km.</w:t>
      </w:r>
    </w:p>
    <w:p>
      <w:pPr>
        <w:numPr>
          <w:ilvl w:val="0"/>
          <w:numId w:val="1005"/>
        </w:numPr>
        <w:pStyle w:val="Compact"/>
      </w:pPr>
      <w:r>
        <w:rPr>
          <w:bCs/>
          <w:b/>
        </w:rPr>
        <w:t xml:space="preserve">Downstream Transport (Factory to Distribution/Consumer):</w:t>
      </w:r>
    </w:p>
    <w:p>
      <w:pPr>
        <w:numPr>
          <w:ilvl w:val="1"/>
          <w:numId w:val="1007"/>
        </w:numPr>
        <w:pStyle w:val="Compact"/>
      </w:pPr>
      <w:r>
        <w:rPr>
          <w:bCs/>
          <w:b/>
        </w:rPr>
        <w:t xml:space="preserve">Transport Mode:</w:t>
      </w:r>
      <w:r>
        <w:t xml:space="preserve"> </w:t>
      </w:r>
      <w:r>
        <w:t xml:space="preserve">Select Mode (Illustrative: Road Freight).</w:t>
      </w:r>
    </w:p>
    <w:p>
      <w:pPr>
        <w:numPr>
          <w:ilvl w:val="1"/>
          <w:numId w:val="1007"/>
        </w:numPr>
        <w:pStyle w:val="Compact"/>
      </w:pPr>
      <w:r>
        <w:rPr>
          <w:bCs/>
          <w:b/>
        </w:rPr>
        <w:t xml:space="preserve">Transport Distance:</w:t>
      </w:r>
      <w:r>
        <w:t xml:space="preserve"> </w:t>
      </w:r>
      <w:r>
        <w:t xml:space="preserve">msurpuygoj (Illustrative: 1,000 km).</w:t>
      </w:r>
    </w:p>
    <w:p>
      <w:pPr>
        <w:numPr>
          <w:ilvl w:val="1"/>
          <w:numId w:val="1007"/>
        </w:numPr>
        <w:pStyle w:val="Compact"/>
      </w:pPr>
      <w:r>
        <w:rPr>
          <w:bCs/>
          <w:b/>
        </w:rPr>
        <w:t xml:space="preserve">Last-Mile Delivery Channel:</w:t>
      </w:r>
      <w:r>
        <w:t xml:space="preserve"> </w:t>
      </w:r>
      <w:r>
        <w:t xml:space="preserve">Delivery Type (Illustrative: Van Delivery).</w:t>
      </w:r>
    </w:p>
    <w:p>
      <w:pPr>
        <w:numPr>
          <w:ilvl w:val="1"/>
          <w:numId w:val="1007"/>
        </w:numPr>
        <w:pStyle w:val="Compact"/>
      </w:pPr>
      <w:r>
        <w:rPr>
          <w:bCs/>
          <w:b/>
        </w:rPr>
        <w:t xml:space="preserve">Last-Mile Delivery Distance:</w:t>
      </w:r>
      <w:r>
        <w:t xml:space="preserve"> </w:t>
      </w:r>
      <w:r>
        <w:t xml:space="preserve">Illustrative: 50 km per unit.</w:t>
      </w:r>
    </w:p>
    <w:p>
      <w:pPr>
        <w:numPr>
          <w:ilvl w:val="1"/>
          <w:numId w:val="1007"/>
        </w:numPr>
        <w:pStyle w:val="Compact"/>
      </w:pPr>
      <w:r>
        <w:rPr>
          <w:bCs/>
          <w:b/>
        </w:rPr>
        <w:t xml:space="preserve">Emission Factor (Road Freight):</w:t>
      </w:r>
      <w:r>
        <w:t xml:space="preserve"> </w:t>
      </w:r>
      <w:r>
        <w:t xml:space="preserve">0.062 kg CO2e/tonne-km.</w:t>
      </w:r>
    </w:p>
    <w:p>
      <w:pPr>
        <w:numPr>
          <w:ilvl w:val="1"/>
          <w:numId w:val="1007"/>
        </w:numPr>
        <w:pStyle w:val="Compact"/>
      </w:pPr>
      <w:r>
        <w:rPr>
          <w:bCs/>
          <w:b/>
        </w:rPr>
        <w:t xml:space="preserve">Emission Factor (Van Delivery):</w:t>
      </w:r>
      <w:r>
        <w:t xml:space="preserve"> </w:t>
      </w:r>
      <w:r>
        <w:t xml:space="preserve">0.249 kg CO2e/km.</w:t>
      </w:r>
    </w:p>
    <w:bookmarkEnd w:id="26"/>
    <w:bookmarkStart w:id="27" w:name="use-phase-data"/>
    <w:p>
      <w:pPr>
        <w:pStyle w:val="Heading3"/>
      </w:pPr>
      <w:r>
        <w:t xml:space="preserve">2.4. Use Phase Data</w:t>
      </w:r>
    </w:p>
    <w:p>
      <w:pPr>
        <w:pStyle w:val="FirstParagraph"/>
      </w:pPr>
      <w:r>
        <w:t xml:space="preserve">The following illustrative data has been used for the product\'s use phase:</w:t>
      </w:r>
    </w:p>
    <w:p>
      <w:pPr>
        <w:numPr>
          <w:ilvl w:val="0"/>
          <w:numId w:val="1008"/>
        </w:numPr>
        <w:pStyle w:val="Compact"/>
      </w:pPr>
      <w:r>
        <w:rPr>
          <w:bCs/>
          <w:b/>
        </w:rPr>
        <w:t xml:space="preserve">Product Lifespan:</w:t>
      </w:r>
      <w:r>
        <w:t xml:space="preserve"> </w:t>
      </w:r>
      <w:r>
        <w:t xml:space="preserve">notnjqwhun. Illustrative value: 5 years.</w:t>
      </w:r>
    </w:p>
    <w:p>
      <w:pPr>
        <w:numPr>
          <w:ilvl w:val="0"/>
          <w:numId w:val="1008"/>
        </w:numPr>
        <w:pStyle w:val="Compact"/>
      </w:pPr>
      <w:r>
        <w:rPr>
          <w:bCs/>
          <w:b/>
        </w:rPr>
        <w:t xml:space="preserve">Energy Consumption in Use:</w:t>
      </w:r>
      <w:r>
        <w:t xml:space="preserve"> </w:t>
      </w:r>
      <w:r>
        <w:t xml:space="preserve">mguszjknku. Illustrative value: 10 kWh/year.</w:t>
      </w:r>
    </w:p>
    <w:p>
      <w:pPr>
        <w:numPr>
          <w:ilvl w:val="0"/>
          <w:numId w:val="1008"/>
        </w:numPr>
        <w:pStyle w:val="Compact"/>
      </w:pPr>
      <w:r>
        <w:rPr>
          <w:bCs/>
          <w:b/>
        </w:rPr>
        <w:t xml:space="preserve">Geographic Scope for Use:</w:t>
      </w:r>
      <w:r>
        <w:t xml:space="preserve"> </w:t>
      </w:r>
      <w:r>
        <w:t xml:space="preserve">Europe Focused.</w:t>
      </w:r>
    </w:p>
    <w:p>
      <w:pPr>
        <w:numPr>
          <w:ilvl w:val="0"/>
          <w:numId w:val="1008"/>
        </w:numPr>
        <w:pStyle w:val="Compact"/>
      </w:pPr>
      <w:r>
        <w:rPr>
          <w:bCs/>
          <w:b/>
        </w:rPr>
        <w:t xml:space="preserve">Electricity Grid Emission Factor (Europe):</w:t>
      </w:r>
      <w:r>
        <w:t xml:space="preserve"> </w:t>
      </w:r>
      <w:r>
        <w:t xml:space="preserve">An average European grid emission factor of 0.181 kg CO2e/kWh (2024 data) will be used.</w:t>
      </w:r>
    </w:p>
    <w:bookmarkEnd w:id="27"/>
    <w:bookmarkStart w:id="28" w:name="end-of-life-eol-data"/>
    <w:p>
      <w:pPr>
        <w:pStyle w:val="Heading3"/>
      </w:pPr>
      <w:r>
        <w:t xml:space="preserve">2.5. End-of-Life (EoL) Data</w:t>
      </w:r>
    </w:p>
    <w:p>
      <w:pPr>
        <w:pStyle w:val="FirstParagraph"/>
      </w:pPr>
      <w:r>
        <w:t xml:space="preserve">The following illustrative data has been used for the product\'s end-of-life stage:</w:t>
      </w:r>
    </w:p>
    <w:p>
      <w:pPr>
        <w:numPr>
          <w:ilvl w:val="0"/>
          <w:numId w:val="1009"/>
        </w:numPr>
        <w:pStyle w:val="Compact"/>
      </w:pPr>
      <w:r>
        <w:rPr>
          <w:bCs/>
          <w:b/>
        </w:rPr>
        <w:t xml:space="preserve">Recyclability Percentage:</w:t>
      </w:r>
      <w:r>
        <w:t xml:space="preserve"> </w:t>
      </w:r>
      <w:r>
        <w:t xml:space="preserve">dnuvozqnnf. Illustrative value: 70%.</w:t>
      </w:r>
    </w:p>
    <w:p>
      <w:pPr>
        <w:numPr>
          <w:ilvl w:val="0"/>
          <w:numId w:val="1009"/>
        </w:numPr>
        <w:pStyle w:val="Compact"/>
      </w:pPr>
      <w:r>
        <w:rPr>
          <w:bCs/>
          <w:b/>
        </w:rPr>
        <w:t xml:space="preserve">Circular/Take-back Programs:</w:t>
      </w:r>
      <w:r>
        <w:t xml:space="preserve"> </w:t>
      </w:r>
      <w:r>
        <w:t xml:space="preserve">dlswnhjspe. Illustrative: Yes, indicating active programs.</w:t>
      </w:r>
    </w:p>
    <w:p>
      <w:pPr>
        <w:numPr>
          <w:ilvl w:val="0"/>
          <w:numId w:val="1009"/>
        </w:numPr>
        <w:pStyle w:val="Compact"/>
      </w:pPr>
      <w:r>
        <w:rPr>
          <w:bCs/>
          <w:b/>
        </w:rPr>
        <w:t xml:space="preserve">Recycling Credit:</w:t>
      </w:r>
      <w:r>
        <w:t xml:space="preserve"> </w:t>
      </w:r>
      <w:r>
        <w:t xml:space="preserve">A credit for avoided virgin material production will be applied for the recyclable portion.</w:t>
      </w:r>
    </w:p>
    <w:p>
      <w:r>
        <w:pict>
          <v:rect style="width:0;height:1.5pt" o:hralign="center" o:hrstd="t" o:hr="t"/>
        </w:pict>
      </w:r>
    </w:p>
    <w:bookmarkEnd w:id="28"/>
    <w:bookmarkEnd w:id="29"/>
    <w:bookmarkStart w:id="38" w:name="Xdd1c2ba429305467bad58a0828410d9d0fce25c"/>
    <w:p>
      <w:pPr>
        <w:pStyle w:val="Heading2"/>
      </w:pPr>
      <w:r>
        <w:t xml:space="preserve">3. Emissions Calculation (Activity * Emission Factor = CO2e)</w:t>
      </w:r>
    </w:p>
    <w:p>
      <w:pPr>
        <w:pStyle w:val="FirstParagraph"/>
      </w:pPr>
      <w:r>
        <w:t xml:space="preserve">Emissions are calculated for each lifecycle stage and categorized according to the GHG Protocol Scopes. Industry-standard emission factors, often derived from databases like Ecoinvent or DEFRA, are applied. For the purpose of this illustrative report, general emission factors derived from reputable sources and research are used, as direct database access is not available.</w:t>
      </w:r>
    </w:p>
    <w:bookmarkStart w:id="35" w:name="X77ecbece63800f22f1273b43fcc7c6f1d3ccccf"/>
    <w:p>
      <w:pPr>
        <w:pStyle w:val="Heading3"/>
      </w:pPr>
      <w:r>
        <w:t xml:space="preserve">3.1. Calculations by Lifecycle Stage and GHG Scope</w:t>
      </w:r>
    </w:p>
    <w:bookmarkStart w:id="30" w:name="X00276586af3598f1fc7866665f5f89534000ead"/>
    <w:p>
      <w:pPr>
        <w:pStyle w:val="Heading4"/>
      </w:pPr>
      <w:r>
        <w:t xml:space="preserve">3.1.1. Materials Acquisition &amp; Pre-processing (Scope 3, Category 1: Purchased Goods and Services)</w:t>
      </w:r>
    </w:p>
    <w:p>
      <w:pPr>
        <w:pStyle w:val="FirstParagraph"/>
      </w:pPr>
      <w:r>
        <w:t xml:space="preserve">Based on the illustrative BOM, the total embodied carbon from raw materials and their initial processing is:</w:t>
      </w:r>
    </w:p>
    <w:p>
      <w:pPr>
        <w:pStyle w:val="BodyText"/>
      </w:pPr>
      <w:r>
        <w:rPr>
          <w:bCs/>
          <w:b/>
        </w:rPr>
        <w:t xml:space="preserve">Total Material Emissions (Illustrative):</w:t>
      </w:r>
      <w:r>
        <w:t xml:space="preserve"> </w:t>
      </w:r>
      <w:r>
        <w:t xml:space="preserve">10.95 kg CO2e</w:t>
      </w:r>
    </w:p>
    <w:bookmarkEnd w:id="30"/>
    <w:bookmarkStart w:id="31" w:name="X2e002adc124d3e3fc4e16b164923abad8687e42"/>
    <w:p>
      <w:pPr>
        <w:pStyle w:val="Heading4"/>
      </w:pPr>
      <w:r>
        <w:t xml:space="preserve">3.1.2. Manufacturing/Production (Scope 2: Purchased Electricity)</w:t>
      </w:r>
    </w:p>
    <w:p>
      <w:pPr>
        <w:numPr>
          <w:ilvl w:val="0"/>
          <w:numId w:val="1010"/>
        </w:numPr>
        <w:pStyle w:val="Compact"/>
      </w:pPr>
      <w:r>
        <w:t xml:space="preserve">Energy Intensity: 25 kWh/unit</w:t>
      </w:r>
    </w:p>
    <w:p>
      <w:pPr>
        <w:numPr>
          <w:ilvl w:val="0"/>
          <w:numId w:val="1010"/>
        </w:numPr>
        <w:pStyle w:val="Compact"/>
      </w:pPr>
      <w:r>
        <w:t xml:space="preserve">Renewable Energy Usage: 50%</w:t>
      </w:r>
    </w:p>
    <w:p>
      <w:pPr>
        <w:numPr>
          <w:ilvl w:val="0"/>
          <w:numId w:val="1010"/>
        </w:numPr>
        <w:pStyle w:val="Compact"/>
      </w:pPr>
      <w:r>
        <w:t xml:space="preserve">Non-renewable energy share: 100% - 50% = 50%</w:t>
      </w:r>
    </w:p>
    <w:p>
      <w:pPr>
        <w:numPr>
          <w:ilvl w:val="0"/>
          <w:numId w:val="1010"/>
        </w:numPr>
        <w:pStyle w:val="Compact"/>
      </w:pPr>
      <w:r>
        <w:t xml:space="preserve">Electricity from grid: 25 kWh/unit * 50% = 12.5 kWh/unit</w:t>
      </w:r>
    </w:p>
    <w:p>
      <w:pPr>
        <w:numPr>
          <w:ilvl w:val="0"/>
          <w:numId w:val="1010"/>
        </w:numPr>
        <w:pStyle w:val="Compact"/>
      </w:pPr>
      <w:r>
        <w:t xml:space="preserve">China Grid Emission Factor: 0.556 kg CO2e/kWh</w:t>
      </w:r>
    </w:p>
    <w:p>
      <w:pPr>
        <w:numPr>
          <w:ilvl w:val="0"/>
          <w:numId w:val="1010"/>
        </w:numPr>
        <w:pStyle w:val="Compact"/>
      </w:pPr>
      <w:r>
        <w:rPr>
          <w:bCs/>
          <w:b/>
        </w:rPr>
        <w:t xml:space="preserve">Production Emissions:</w:t>
      </w:r>
      <w:r>
        <w:t xml:space="preserve"> </w:t>
      </w:r>
      <w:r>
        <w:t xml:space="preserve">12.5 kWh/unit * 0.556 kg CO2e/kWh = 6.95 kg CO2e</w:t>
      </w:r>
    </w:p>
    <w:bookmarkEnd w:id="31"/>
    <w:bookmarkStart w:id="32" w:name="X39014f13ee74a8088539e001e55ef948077d1d6"/>
    <w:p>
      <w:pPr>
        <w:pStyle w:val="Heading4"/>
      </w:pPr>
      <w:r>
        <w:t xml:space="preserve">3.1.3. Transportation (Scope 3, Category 4: Upstream &amp; Category 9: Downstream)</w:t>
      </w:r>
    </w:p>
    <w:p>
      <w:pPr>
        <w:numPr>
          <w:ilvl w:val="0"/>
          <w:numId w:val="1011"/>
        </w:numPr>
        <w:pStyle w:val="Compact"/>
      </w:pPr>
      <w:r>
        <w:rPr>
          <w:bCs/>
          <w:b/>
        </w:rPr>
        <w:t xml:space="preserve">Upstream Transport (Illustrative):</w:t>
      </w:r>
    </w:p>
    <w:p>
      <w:pPr>
        <w:numPr>
          <w:ilvl w:val="1"/>
          <w:numId w:val="1012"/>
        </w:numPr>
        <w:pStyle w:val="Compact"/>
      </w:pPr>
      <w:r>
        <w:t xml:space="preserve">Product Weight: 0.95 kg = 0.00095 tonnes</w:t>
      </w:r>
    </w:p>
    <w:p>
      <w:pPr>
        <w:numPr>
          <w:ilvl w:val="1"/>
          <w:numId w:val="1012"/>
        </w:numPr>
        <w:pStyle w:val="Compact"/>
      </w:pPr>
      <w:r>
        <w:t xml:space="preserve">Ocean Freight: 0.00095 tonnes * 8,000 km * 0.016 kg CO2e/tonne-km = 0.12 kg CO2e</w:t>
      </w:r>
    </w:p>
    <w:p>
      <w:pPr>
        <w:numPr>
          <w:ilvl w:val="1"/>
          <w:numId w:val="1012"/>
        </w:numPr>
        <w:pStyle w:val="Compact"/>
      </w:pPr>
      <w:r>
        <w:t xml:space="preserve">Road Freight (Materials to Factory): 0.00095 tonnes * 500 km * 0.062 kg CO2e/tonne-km = 0.03 kg CO2e</w:t>
      </w:r>
    </w:p>
    <w:p>
      <w:pPr>
        <w:numPr>
          <w:ilvl w:val="1"/>
          <w:numId w:val="1012"/>
        </w:numPr>
        <w:pStyle w:val="Compact"/>
      </w:pPr>
      <w:r>
        <w:rPr>
          <w:bCs/>
          <w:b/>
        </w:rPr>
        <w:t xml:space="preserve">Total Upstream Transport Emissions:</w:t>
      </w:r>
      <w:r>
        <w:t xml:space="preserve"> </w:t>
      </w:r>
      <w:r>
        <w:t xml:space="preserve">0.12 + 0.03 = 0.15 kg CO2e</w:t>
      </w:r>
    </w:p>
    <w:p>
      <w:pPr>
        <w:numPr>
          <w:ilvl w:val="0"/>
          <w:numId w:val="1011"/>
        </w:numPr>
        <w:pStyle w:val="Compact"/>
      </w:pPr>
      <w:r>
        <w:rPr>
          <w:bCs/>
          <w:b/>
        </w:rPr>
        <w:t xml:space="preserve">Downstream Transport (Illustrative):</w:t>
      </w:r>
    </w:p>
    <w:p>
      <w:pPr>
        <w:numPr>
          <w:ilvl w:val="1"/>
          <w:numId w:val="1013"/>
        </w:numPr>
        <w:pStyle w:val="Compact"/>
      </w:pPr>
      <w:r>
        <w:t xml:space="preserve">Product Weight: 0.95 kg = 0.00095 tonnes</w:t>
      </w:r>
    </w:p>
    <w:p>
      <w:pPr>
        <w:numPr>
          <w:ilvl w:val="1"/>
          <w:numId w:val="1013"/>
        </w:numPr>
        <w:pStyle w:val="Compact"/>
      </w:pPr>
      <w:r>
        <w:t xml:space="preserve">Road Freight (Factory to Distribution): 0.00095 tonnes * 1,000 km * 0.062 kg CO2e/tonne-km = 0.06 kg CO2e</w:t>
      </w:r>
    </w:p>
    <w:p>
      <w:pPr>
        <w:numPr>
          <w:ilvl w:val="1"/>
          <w:numId w:val="1013"/>
        </w:numPr>
        <w:pStyle w:val="Compact"/>
      </w:pPr>
      <w:r>
        <w:t xml:space="preserve">Last-Mile Van Delivery: 50 km * 0.249 kg CO2e/km = 12.45 kg CO2e</w:t>
      </w:r>
    </w:p>
    <w:p>
      <w:pPr>
        <w:numPr>
          <w:ilvl w:val="1"/>
          <w:numId w:val="1013"/>
        </w:numPr>
        <w:pStyle w:val="Compact"/>
      </w:pPr>
      <w:r>
        <w:rPr>
          <w:bCs/>
          <w:b/>
        </w:rPr>
        <w:t xml:space="preserve">Total Downstream Transport Emissions:</w:t>
      </w:r>
      <w:r>
        <w:t xml:space="preserve"> </w:t>
      </w:r>
      <w:r>
        <w:t xml:space="preserve">0.06 + 12.45 = 12.51 kg CO2e</w:t>
      </w:r>
    </w:p>
    <w:p>
      <w:pPr>
        <w:numPr>
          <w:ilvl w:val="0"/>
          <w:numId w:val="1011"/>
        </w:numPr>
        <w:pStyle w:val="Compact"/>
      </w:pPr>
      <w:r>
        <w:rPr>
          <w:bCs/>
          <w:b/>
        </w:rPr>
        <w:t xml:space="preserve">Total Transportation Emissions:</w:t>
      </w:r>
      <w:r>
        <w:t xml:space="preserve"> </w:t>
      </w:r>
      <w:r>
        <w:t xml:space="preserve">0.15 + 12.51 = 12.66 kg CO2e</w:t>
      </w:r>
    </w:p>
    <w:bookmarkEnd w:id="32"/>
    <w:bookmarkStart w:id="33" w:name="Xc8d47610e025d3b1fe367d676386ecee874efa3"/>
    <w:p>
      <w:pPr>
        <w:pStyle w:val="Heading4"/>
      </w:pPr>
      <w:r>
        <w:t xml:space="preserve">3.1.4. Use Phase (Scope 3, Category 11: Use of Sold Products)</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Total Energy Consumption in Use: 10 kWh/year * 5 years = 50 kWh</w:t>
      </w:r>
    </w:p>
    <w:p>
      <w:pPr>
        <w:numPr>
          <w:ilvl w:val="0"/>
          <w:numId w:val="1014"/>
        </w:numPr>
        <w:pStyle w:val="Compact"/>
      </w:pPr>
      <w:r>
        <w:t xml:space="preserve">Europe Grid Emission Factor: 0.181 kg CO2e/kWh</w:t>
      </w:r>
    </w:p>
    <w:p>
      <w:pPr>
        <w:numPr>
          <w:ilvl w:val="0"/>
          <w:numId w:val="1014"/>
        </w:numPr>
        <w:pStyle w:val="Compact"/>
      </w:pPr>
      <w:r>
        <w:rPr>
          <w:bCs/>
          <w:b/>
        </w:rPr>
        <w:t xml:space="preserve">Use Phase Emissions:</w:t>
      </w:r>
      <w:r>
        <w:t xml:space="preserve"> </w:t>
      </w:r>
      <w:r>
        <w:t xml:space="preserve">50 kWh * 0.181 kg CO2e/kWh = 9.05 kg CO2e</w:t>
      </w:r>
    </w:p>
    <w:bookmarkEnd w:id="33"/>
    <w:bookmarkStart w:id="34" w:name="X9982929b618de862c11111658ccce8db3e98553"/>
    <w:p>
      <w:pPr>
        <w:pStyle w:val="Heading4"/>
      </w:pPr>
      <w:r>
        <w:t xml:space="preserve">3.1.5. End-of-Life (EoL) (Scope 3, Category 12: End-of-Life Treatment of Sold Products)</w:t>
      </w:r>
    </w:p>
    <w:p>
      <w:pPr>
        <w:numPr>
          <w:ilvl w:val="0"/>
          <w:numId w:val="1015"/>
        </w:numPr>
        <w:pStyle w:val="Compact"/>
      </w:pPr>
      <w:r>
        <w:t xml:space="preserve">Recyclability Percentage: 70%</w:t>
      </w:r>
    </w:p>
    <w:p>
      <w:pPr>
        <w:numPr>
          <w:ilvl w:val="0"/>
          <w:numId w:val="1015"/>
        </w:numPr>
        <w:pStyle w:val="Compact"/>
      </w:pPr>
      <w:r>
        <w:t xml:space="preserve">Material Emissions (from 3.1.1): 10.95 kg CO2e</w:t>
      </w:r>
    </w:p>
    <w:p>
      <w:pPr>
        <w:numPr>
          <w:ilvl w:val="0"/>
          <w:numId w:val="1015"/>
        </w:numPr>
        <w:pStyle w:val="Compact"/>
      </w:pPr>
      <w:r>
        <w:t xml:space="preserve">Emissions for non-recycled portion (30% assumed to landfill/incineration with minimal recovery): 10.95 kg CO2e * 30% = 3.285 kg CO2e (assuming this represents the full impact if not recycled)</w:t>
      </w:r>
    </w:p>
    <w:p>
      <w:pPr>
        <w:numPr>
          <w:ilvl w:val="0"/>
          <w:numId w:val="1015"/>
        </w:numPr>
        <w:pStyle w:val="Compact"/>
      </w:pPr>
      <w:r>
        <w:t xml:space="preserve">Recycling Credit: For the 70% recyclable portion, we apply a credit. Assuming a 50% emissions avoidance compared to virgin material production for recycled content: 10.95 kg CO2e * 70% * 0.50 (avoidance) = 3.83 kg CO2e credit.</w:t>
      </w:r>
    </w:p>
    <w:p>
      <w:pPr>
        <w:numPr>
          <w:ilvl w:val="0"/>
          <w:numId w:val="1015"/>
        </w:numPr>
        <w:pStyle w:val="Compact"/>
      </w:pPr>
      <w:r>
        <w:rPr>
          <w:bCs/>
          <w:b/>
        </w:rPr>
        <w:t xml:space="preserve">Net EoL Emissions:</w:t>
      </w:r>
      <w:r>
        <w:t xml:space="preserve"> </w:t>
      </w:r>
      <w:r>
        <w:t xml:space="preserve">3.285 kg CO2e - 3.83 kg CO2e = -0.545 kg CO2e (a net removal/avoidance due to recycling efforts).</w:t>
      </w:r>
    </w:p>
    <w:bookmarkEnd w:id="34"/>
    <w:bookmarkEnd w:id="35"/>
    <w:bookmarkStart w:id="36" w:name="Xbf919fc4a4fc9f83b4eb05f7162c0136b234dab"/>
    <w:p>
      <w:pPr>
        <w:pStyle w:val="Heading3"/>
      </w:pPr>
      <w:r>
        <w:t xml:space="preserve">3.2. Summary of Product Carbon Footprint (PCF) - nkthvxommw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10.95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6.95</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0.15</w:t>
            </w:r>
          </w:p>
        </w:tc>
      </w:tr>
      <w:tr>
        <w:tc>
          <w:tcPr/>
          <w:p>
            <w:pPr>
              <w:pStyle w:val="Compact"/>
              <w:jc w:val="left"/>
            </w:pPr>
            <w:r>
              <w:t xml:space="preserve">Transportation (Downstream)</w:t>
            </w:r>
          </w:p>
        </w:tc>
        <w:tc>
          <w:tcPr/>
          <w:p>
            <w:pPr>
              <w:pStyle w:val="Compact"/>
              <w:jc w:val="left"/>
            </w:pPr>
            <w:r>
              <w:t xml:space="preserve">Scope 3 (Category 9)</w:t>
            </w:r>
          </w:p>
        </w:tc>
        <w:tc>
          <w:tcPr/>
          <w:p>
            <w:pPr>
              <w:pStyle w:val="Compact"/>
              <w:jc w:val="left"/>
            </w:pPr>
            <w:r>
              <w:t xml:space="preserve">12.51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-0.545</w:t>
            </w:r>
          </w:p>
        </w:tc>
      </w:tr>
      <w:tr>
        <w:tc>
          <w:tcPr>
            <w:gridSpan w:val="2"/>
          </w:tcPr>
          <w:p>
            <w:pPr>
              <w:pStyle w:val="Compact"/>
              <w:jc w:val="left"/>
            </w:pPr>
            <w:r>
              <w:t xml:space="preserve">Total Product Carbon Footprint</w:t>
            </w:r>
          </w:p>
        </w:tc>
        <w:tc>
          <w:tcPr/>
          <w:p>
            <w:pPr>
              <w:pStyle w:val="Compact"/>
              <w:jc w:val="left"/>
            </w:pPr>
            <w:r>
              <w:t xml:space="preserve">39.065</w:t>
            </w:r>
          </w:p>
        </w:tc>
      </w:tr>
    </w:tbl>
    <w:bookmarkEnd w:id="36"/>
    <w:bookmarkStart w:id="37" w:name="pcf-breakdown-by-ghg-scope"/>
    <w:p>
      <w:pPr>
        <w:pStyle w:val="Heading3"/>
      </w:pPr>
      <w:r>
        <w:t xml:space="preserve">3.3. PCF Breakdown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6.95</w:t>
            </w:r>
          </w:p>
        </w:tc>
        <w:tc>
          <w:tcPr/>
          <w:p>
            <w:pPr>
              <w:pStyle w:val="Compact"/>
              <w:jc w:val="left"/>
            </w:pPr>
            <w:r>
              <w:t xml:space="preserve">17.8%</w:t>
            </w:r>
          </w:p>
        </w:tc>
      </w:tr>
      <w:tr>
        <w:tc>
          <w:tcPr/>
          <w:p>
            <w:pPr>
              <w:pStyle w:val="Compact"/>
              <w:jc w:val="left"/>
            </w:pPr>
            <w:r>
              <w:t xml:space="preserve">Scope 3 (Value Chain Emissions)</w:t>
            </w:r>
          </w:p>
        </w:tc>
        <w:tc>
          <w:tcPr/>
          <w:p>
            <w:pPr>
              <w:pStyle w:val="Compact"/>
              <w:jc w:val="left"/>
            </w:pPr>
            <w:r>
              <w:t xml:space="preserve">32.115</w:t>
            </w:r>
          </w:p>
        </w:tc>
        <w:tc>
          <w:tcPr/>
          <w:p>
            <w:pPr>
              <w:pStyle w:val="Compact"/>
              <w:jc w:val="left"/>
            </w:pPr>
            <w:r>
              <w:t xml:space="preserve">82.2%</w:t>
            </w:r>
          </w:p>
        </w:tc>
      </w:tr>
      <w:tr>
        <w:tc>
          <w:tcPr/>
          <w:p>
            <w:pPr>
              <w:pStyle w:val="Compact"/>
              <w:jc w:val="left"/>
            </w:pPr>
            <w:r>
              <w:t xml:space="preserve">Total PCF</w:t>
            </w:r>
          </w:p>
        </w:tc>
        <w:tc>
          <w:tcPr/>
          <w:p>
            <w:pPr>
              <w:pStyle w:val="Compact"/>
              <w:jc w:val="left"/>
            </w:pPr>
            <w:r>
              <w:t xml:space="preserve">39.065</w:t>
            </w:r>
          </w:p>
        </w:tc>
        <w:tc>
          <w:tcPr/>
          <w:p>
            <w:pPr>
              <w:pStyle w:val="Compact"/>
              <w:jc w:val="left"/>
            </w:pPr>
            <w:r>
              <w:t xml:space="preserve">100.0%</w:t>
            </w:r>
          </w:p>
        </w:tc>
      </w:tr>
    </w:tbl>
    <w:p>
      <w:pPr>
        <w:pStyle w:val="BodyText"/>
      </w:pPr>
      <w:r>
        <w:t xml:space="preserve">Note: The Scope 3 total includes material acquisition (10.95 kg CO2e), upstream transport (0.15 kg CO2e), downstream transport (12.51 kg CO2e), use phase (9.05 kg CO2e), and end-of-life (-0.545 kg CO2e). The 95% coverage for Scope 3 as per 2026 requirements is met given the comprehensive lifecycle stages included.</w:t>
      </w:r>
    </w:p>
    <w:p>
      <w:r>
        <w:pict>
          <v:rect style="width:0;height:1.5pt" o:hralign="center" o:hrstd="t" o:hr="t"/>
        </w:pict>
      </w:r>
    </w:p>
    <w:bookmarkEnd w:id="37"/>
    <w:bookmarkEnd w:id="38"/>
    <w:bookmarkStart w:id="42" w:name="review-report"/>
    <w:p>
      <w:pPr>
        <w:pStyle w:val="Heading2"/>
      </w:pPr>
      <w:r>
        <w:t xml:space="preserve">4. Review &amp; Report</w:t>
      </w:r>
    </w:p>
    <w:bookmarkStart w:id="39" w:name="emission-hotspots"/>
    <w:p>
      <w:pPr>
        <w:pStyle w:val="Heading3"/>
      </w:pPr>
      <w:r>
        <w:t xml:space="preserve">4.1. Emission Hotspots</w:t>
      </w:r>
    </w:p>
    <w:p>
      <w:pPr>
        <w:pStyle w:val="FirstParagraph"/>
      </w:pPr>
      <w:r>
        <w:t xml:space="preserve">Based on this analysis, the primary emission hotspots for \'nkthvxommw\' are:</w:t>
      </w:r>
    </w:p>
    <w:p>
      <w:pPr>
        <w:numPr>
          <w:ilvl w:val="0"/>
          <w:numId w:val="1016"/>
        </w:numPr>
        <w:pStyle w:val="Compact"/>
      </w:pPr>
      <w:r>
        <w:rPr>
          <w:bCs/>
          <w:b/>
        </w:rPr>
        <w:t xml:space="preserve">Downstream Transportation (Last-Mile Delivery):</w:t>
      </w:r>
      <w:r>
        <w:t xml:space="preserve"> </w:t>
      </w:r>
      <w:r>
        <w:t xml:space="preserve">This stage, particularly the last-mile delivery, represents a significant portion of the total PCF (12.45 kg CO2e out of 39.065 kg CO2e, approximately 31.9%). This indicates that the efficiency and mode of final delivery have a disproportionately high impact.</w:t>
      </w:r>
    </w:p>
    <w:p>
      <w:pPr>
        <w:numPr>
          <w:ilvl w:val="0"/>
          <w:numId w:val="1016"/>
        </w:numPr>
        <w:pStyle w:val="Compact"/>
      </w:pPr>
      <w:r>
        <w:rPr>
          <w:bCs/>
          <w:b/>
        </w:rPr>
        <w:t xml:space="preserve">Materials Acquisition:</w:t>
      </w:r>
      <w:r>
        <w:t xml:space="preserve"> </w:t>
      </w:r>
      <w:r>
        <w:t xml:space="preserve">The embodied carbon in purchased goods and services, as indicated by the illustrative BOM (10.95 kg CO2e, approximately 28.0%), is another major contributor. High-impact materials like aluminum and batteries drive this.</w:t>
      </w:r>
    </w:p>
    <w:p>
      <w:pPr>
        <w:numPr>
          <w:ilvl w:val="0"/>
          <w:numId w:val="1016"/>
        </w:numPr>
        <w:pStyle w:val="Compact"/>
      </w:pPr>
      <w:r>
        <w:rPr>
          <w:bCs/>
          <w:b/>
        </w:rPr>
        <w:t xml:space="preserve">Use Phase:</w:t>
      </w:r>
      <w:r>
        <w:t xml:space="preserve"> </w:t>
      </w:r>
      <w:r>
        <w:t xml:space="preserve">The energy consumption during the product\'s lifespan contributes substantially (9.05 kg CO2e, approximately 23.2%), underscoring the importance of energy-efficient design.</w:t>
      </w:r>
    </w:p>
    <w:p>
      <w:pPr>
        <w:numPr>
          <w:ilvl w:val="0"/>
          <w:numId w:val="1016"/>
        </w:numPr>
        <w:pStyle w:val="Compact"/>
      </w:pPr>
      <w:r>
        <w:rPr>
          <w:bCs/>
          <w:b/>
        </w:rPr>
        <w:t xml:space="preserve">Manufacturing/Production (Electricity):</w:t>
      </w:r>
      <w:r>
        <w:t xml:space="preserve"> </w:t>
      </w:r>
      <w:r>
        <w:t xml:space="preserve">While substantial (6.95 kg CO2e, approximately 17.8%), the impact from purchased electricity for manufacturing in China is influenced by the grid mix and the company\'s renewable energy usage.</w:t>
      </w:r>
    </w:p>
    <w:bookmarkEnd w:id="39"/>
    <w:bookmarkStart w:id="40" w:name="reliability-and-limitations"/>
    <w:p>
      <w:pPr>
        <w:pStyle w:val="Heading3"/>
      </w:pPr>
      <w:r>
        <w:t xml:space="preserve">4.2. Reliability and Limitations</w:t>
      </w:r>
    </w:p>
    <w:p>
      <w:pPr>
        <w:pStyle w:val="FirstParagraph"/>
      </w:pPr>
      <w:r>
        <w:t xml:space="preserve">The reliability of this PCF is contingent upon the accuracy and completeness of the input data. Key limitations include:</w:t>
      </w:r>
    </w:p>
    <w:p>
      <w:pPr>
        <w:numPr>
          <w:ilvl w:val="0"/>
          <w:numId w:val="1017"/>
        </w:numPr>
        <w:pStyle w:val="Compact"/>
      </w:pPr>
      <w:r>
        <w:rPr>
          <w:bCs/>
          <w:b/>
        </w:rPr>
        <w:t xml:space="preserve">Illustrative Data:</w:t>
      </w:r>
      <w:r>
        <w:t xml:space="preserve"> </w:t>
      </w:r>
      <w:r>
        <w:t xml:space="preserve">Specific product parameters, such as the detailed BOM, transport distances, energy consumption, and renewable energy usage, were provided as placeholder strings by the user. Therefore, illustrative, plausible numerical values were assumed for these parameters to demonstrate the calculation methodology. Actual company-specific data is crucial for an accurate assessment.</w:t>
      </w:r>
    </w:p>
    <w:p>
      <w:pPr>
        <w:numPr>
          <w:ilvl w:val="0"/>
          <w:numId w:val="1017"/>
        </w:numPr>
        <w:pStyle w:val="Compact"/>
      </w:pPr>
      <w:r>
        <w:rPr>
          <w:bCs/>
          <w:b/>
        </w:rPr>
        <w:t xml:space="preserve">Generic Emission Factors:</w:t>
      </w:r>
      <w:r>
        <w:t xml:space="preserve"> </w:t>
      </w:r>
      <w:r>
        <w:t xml:space="preserve">Industry-standard emission factors were used, drawing on publicly available data for electricity grids and transportation modes. While these are generally robust, product-specific or supplier-specific emission factors would enhance accuracy.</w:t>
      </w:r>
    </w:p>
    <w:p>
      <w:pPr>
        <w:numPr>
          <w:ilvl w:val="0"/>
          <w:numId w:val="1017"/>
        </w:numPr>
        <w:pStyle w:val="Compact"/>
      </w:pPr>
      <w:r>
        <w:rPr>
          <w:bCs/>
          <w:b/>
        </w:rPr>
        <w:t xml:space="preserve">LSR Standard Implementation:</w:t>
      </w:r>
      <w:r>
        <w:t xml:space="preserve"> </w:t>
      </w:r>
      <w:r>
        <w:t xml:space="preserve">While the LSR Standard is acknowledged, its detailed application for this product is not extensive due to the nature of \'nkthvxommw\' (likely manufactured good rather than agricultural product). However, the underlying data quality principles and consideration for land use in upstream material production are implicit.</w:t>
      </w:r>
    </w:p>
    <w:p>
      <w:pPr>
        <w:numPr>
          <w:ilvl w:val="0"/>
          <w:numId w:val="1017"/>
        </w:numPr>
        <w:pStyle w:val="Compact"/>
      </w:pPr>
      <w:r>
        <w:rPr>
          <w:bCs/>
          <w:b/>
        </w:rPr>
        <w:t xml:space="preserve">Scope 3 Coverage:</w:t>
      </w:r>
      <w:r>
        <w:t xml:space="preserve"> </w:t>
      </w:r>
      <w:r>
        <w:t xml:space="preserve">Efforts were made to cover all significant Scope 3 categories as per GHG Protocol requirements and the 2026 update\'s 95% coverage threshold. However, for a real-world scenario, exhaustive primary data collection for all upstream and downstream activities can be challenging.</w:t>
      </w:r>
    </w:p>
    <w:bookmarkEnd w:id="40"/>
    <w:bookmarkStart w:id="41" w:name="Xfcd85616239d3c8f9b81ef8aa451cf882883c2a"/>
    <w:p>
      <w:pPr>
        <w:pStyle w:val="Heading3"/>
      </w:pPr>
      <w:r>
        <w:t xml:space="preserve">4.3. Recommendations for Reduction and Improvement</w:t>
      </w:r>
    </w:p>
    <w:p>
      <w:pPr>
        <w:numPr>
          <w:ilvl w:val="0"/>
          <w:numId w:val="1018"/>
        </w:numPr>
        <w:pStyle w:val="Compact"/>
      </w:pPr>
      <w:r>
        <w:rPr>
          <w:bCs/>
          <w:b/>
        </w:rPr>
        <w:t xml:space="preserve">Optimize Last-Mile Logistics:</w:t>
      </w:r>
      <w:r>
        <w:t xml:space="preserve"> </w:t>
      </w:r>
      <w:r>
        <w:t xml:space="preserve">Investigate opportunities for more efficient last-mile delivery, such as route optimization, use of electric vehicles, or consolidated shipments.</w:t>
      </w:r>
    </w:p>
    <w:p>
      <w:pPr>
        <w:numPr>
          <w:ilvl w:val="0"/>
          <w:numId w:val="1018"/>
        </w:numPr>
        <w:pStyle w:val="Compact"/>
      </w:pPr>
      <w:r>
        <w:rPr>
          <w:bCs/>
          <w:b/>
        </w:rPr>
        <w:t xml:space="preserve">Sustainable Material Sourcing:</w:t>
      </w:r>
      <w:r>
        <w:t xml:space="preserve"> </w:t>
      </w:r>
      <w:r>
        <w:t xml:space="preserve">Explore alternative materials with lower embodied carbon, increase recycled content, and engage with suppliers to reduce their emissions (Scope 3, Category 1).</w:t>
      </w:r>
    </w:p>
    <w:p>
      <w:pPr>
        <w:numPr>
          <w:ilvl w:val="0"/>
          <w:numId w:val="1018"/>
        </w:numPr>
        <w:pStyle w:val="Compact"/>
      </w:pPr>
      <w:r>
        <w:rPr>
          <w:bCs/>
          <w:b/>
        </w:rPr>
        <w:t xml:space="preserve">Enhance Product Energy Efficiency:</w:t>
      </w:r>
      <w:r>
        <w:t xml:space="preserve"> </w:t>
      </w:r>
      <w:r>
        <w:t xml:space="preserve">Focus on design improvements to reduce energy consumption during the product\'s use phase.</w:t>
      </w:r>
    </w:p>
    <w:p>
      <w:pPr>
        <w:numPr>
          <w:ilvl w:val="0"/>
          <w:numId w:val="1018"/>
        </w:numPr>
        <w:pStyle w:val="Compact"/>
      </w:pPr>
      <w:r>
        <w:rPr>
          <w:bCs/>
          <w:b/>
        </w:rPr>
        <w:t xml:space="preserve">Increase Renewable Energy Sourcing:</w:t>
      </w:r>
      <w:r>
        <w:t xml:space="preserve"> </w:t>
      </w:r>
      <w:r>
        <w:t xml:space="preserve">Continue to increase the share of renewable electricity used in manufacturing operations in China, either through direct procurement or purchasing high-quality energy attribute certificates.</w:t>
      </w:r>
    </w:p>
    <w:p>
      <w:pPr>
        <w:numPr>
          <w:ilvl w:val="0"/>
          <w:numId w:val="1018"/>
        </w:numPr>
        <w:pStyle w:val="Compact"/>
      </w:pPr>
      <w:r>
        <w:rPr>
          <w:bCs/>
          <w:b/>
        </w:rPr>
        <w:t xml:space="preserve">Strengthen Circular Economy Initiatives:</w:t>
      </w:r>
      <w:r>
        <w:t xml:space="preserve"> </w:t>
      </w:r>
      <w:r>
        <w:t xml:space="preserve">Expand take-back programs and explore further avenues to improve recyclability or enable product-as-a-service models to maximize material value and reduce end-of-life impacts.</w:t>
      </w:r>
    </w:p>
    <w:p>
      <w:pPr>
        <w:numPr>
          <w:ilvl w:val="0"/>
          <w:numId w:val="1018"/>
        </w:numPr>
        <w:pStyle w:val="Compact"/>
      </w:pPr>
      <w:r>
        <w:rPr>
          <w:bCs/>
          <w:b/>
        </w:rPr>
        <w:t xml:space="preserve">Data Collection:</w:t>
      </w:r>
      <w:r>
        <w:t xml:space="preserve"> </w:t>
      </w:r>
      <w:r>
        <w:t xml:space="preserve">Prioritize the collection of primary data for BOM items, actual transport routes and modes, and precise energy consumption in both production and use phases to refine future PCF calculations.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nkthvxommw - peoyyqdzzr</dc:title>
  <dc:creator/>
  <dc:description>Detailed Product Carbon Footprint (PCF) analysis report for nkthvxommw, following GHG Protocol standards, for company peoyyqdzzr, prepared by Senior Sustainability Consultant pnjkmttykp.</dc:description>
  <dc:language>en</dc:language>
  <cp:keywords/>
  <dcterms:created xsi:type="dcterms:W3CDTF">2026-07-15T10:24:33Z</dcterms:created>
  <dcterms:modified xsi:type="dcterms:W3CDTF">2026-07-15T10:24:33Z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