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nkjfnlonwy</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nkjfnlonwy</w:t>
      </w:r>
    </w:p>
    <w:p>
      <w:pPr>
        <w:pStyle w:val="BodyText"/>
      </w:pPr>
      <w:r>
        <w:rPr>
          <w:bCs/>
          <w:b/>
        </w:rPr>
        <w:t xml:space="preserve">Company Name:</w:t>
      </w:r>
      <w:r>
        <w:t xml:space="preserve"> </w:t>
      </w:r>
      <w:r>
        <w:t xml:space="preserve">xnviiyohhl</w:t>
      </w:r>
    </w:p>
    <w:p>
      <w:pPr>
        <w:pStyle w:val="BodyText"/>
      </w:pPr>
      <w:r>
        <w:rPr>
          <w:bCs/>
          <w:b/>
        </w:rPr>
        <w:t xml:space="preserve">Senior Sustainability Consultant:</w:t>
      </w:r>
      <w:r>
        <w:t xml:space="preserve"> </w:t>
      </w:r>
      <w:r>
        <w:t xml:space="preserve">jgvjhwsrvj</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43" w:name="Xeacb23a2aee70ae31882b6de53ae75079e98e35"/>
    <w:p>
      <w:pPr>
        <w:pStyle w:val="Heading1"/>
      </w:pPr>
      <w:r>
        <w:t xml:space="preserve">Product Carbon Footprint Report for nkjfnlonwy</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"nkjfnlonwy," manufactured by xnviiyohhl. The analysis was conducted by jgvjhwsrvj, Senior Sustainability Consultant, adhering to the GHG Protocol accounting standard. The PCF quantifies the greenhouse gas (GHG) emissions associated with the product\'s entire lifecycle, from material acquisition to end-of-life, expressed in kilograms of carbon dioxide equivalent (kg CO2e). The total calculated Product Carbon Footprint for nkjfnlonwy is approximately 119.99 kg CO2e per functional unit of 1.0 unit. The use phase is identified as the primary hotspot for emissions.</w:t>
      </w:r>
    </w:p>
    <w:p>
      <w:r>
        <w:pict>
          <v:rect style="width:0;height:1.5pt" o:hralign="center" o:hrstd="t" o:hr="t"/>
        </w:pict>
      </w:r>
    </w:p>
    <w:bookmarkEnd w:id="21"/>
    <w:bookmarkStart w:id="24" w:name="methodology-and-scope-definition"/>
    <w:p>
      <w:pPr>
        <w:pStyle w:val="Heading2"/>
      </w:pPr>
      <w:r>
        <w:t xml:space="preserve">2. Methodology and Scope Definition</w:t>
      </w:r>
    </w:p>
    <w:p>
      <w:pPr>
        <w:pStyle w:val="FirstParagraph"/>
      </w:pPr>
      <w:r>
        <w:t xml:space="preserve">The Product Carbon Footprint (PCF) analysis was performed following the five-step methodology recommended by the GHG Protocol. Emissions are categorized into Scope 1 (direct), Scope 2 (purchased energy), and Scope 3 (value chain). This analysis also considers the forthcoming 2026 Land Sector and Removals (LSR) Standard update and aims for at least 95% coverage for Scope 3 reporting as per 2026 requirements, based on the provided data.</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nkjfnlonwy</w:t>
      </w:r>
    </w:p>
    <w:p>
      <w:pPr>
        <w:numPr>
          <w:ilvl w:val="0"/>
          <w:numId w:val="1001"/>
        </w:numPr>
        <w:pStyle w:val="Compact"/>
      </w:pPr>
      <w:r>
        <w:rPr>
          <w:bCs/>
          <w:b/>
        </w:rPr>
        <w:t xml:space="preserve">System Boundary:</w:t>
      </w:r>
      <w:r>
        <w:t xml:space="preserve"> </w:t>
      </w:r>
      <w:r>
        <w:t xml:space="preserve">Cradle-to-grave, encompassing material acquisition, manufacturing, transport, use, and end-of-life. While the primary production boundary is defined as \'factory_gate\', the analysis extends to downstream stages to incorporate all provided parameters.</w:t>
      </w:r>
    </w:p>
    <w:p>
      <w:pPr>
        <w:numPr>
          <w:ilvl w:val="0"/>
          <w:numId w:val="1001"/>
        </w:numPr>
        <w:pStyle w:val="Compact"/>
      </w:pPr>
      <w:r>
        <w:rPr>
          <w:bCs/>
          <w:b/>
        </w:rPr>
        <w:t xml:space="preserve">Geographic Scope:</w:t>
      </w:r>
      <w:r>
        <w:t xml:space="preserve"> </w:t>
      </w:r>
      <w:r>
        <w:t xml:space="preserve">Final Production Country: China, Supply Chain Focus: Europe Focused (for upstream materials and transport, where applicable).</w:t>
      </w:r>
    </w:p>
    <w:p>
      <w:pPr>
        <w:numPr>
          <w:ilvl w:val="0"/>
          <w:numId w:val="1001"/>
        </w:numPr>
        <w:pStyle w:val="Compact"/>
      </w:pPr>
      <w:r>
        <w:rPr>
          <w:bCs/>
          <w:b/>
        </w:rPr>
        <w:t xml:space="preserve">Accounting Standard:</w:t>
      </w:r>
      <w:r>
        <w:t xml:space="preserve"> </w:t>
      </w:r>
      <w:r>
        <w:t xml:space="preserve">GHG Protocol, including consideration of the proposed 2026 revisions for Scope 3 reporting and the Land Sector and Removals Standard.</w:t>
      </w:r>
    </w:p>
    <w:p>
      <w:pPr>
        <w:numPr>
          <w:ilvl w:val="0"/>
          <w:numId w:val="1001"/>
        </w:numPr>
        <w:pStyle w:val="Compact"/>
      </w:pPr>
      <w:r>
        <w:rPr>
          <w:bCs/>
          <w:b/>
        </w:rPr>
        <w:t xml:space="preserve">Allocation:</w:t>
      </w:r>
      <w:r>
        <w:t xml:space="preserve"> </w:t>
      </w:r>
      <w:r>
        <w:t xml:space="preserve">Emissions are directly allocated to the functional unit.</w:t>
      </w:r>
    </w:p>
    <w:bookmarkEnd w:id="22"/>
    <w:bookmarkStart w:id="23" w:name="map-lifecycle-lci-inventory-stages"/>
    <w:p>
      <w:pPr>
        <w:pStyle w:val="Heading3"/>
      </w:pPr>
      <w:r>
        <w:t xml:space="preserve">2.2. Map Lifecycle (LCI Inventory Stages)</w:t>
      </w:r>
    </w:p>
    <w:p>
      <w:pPr>
        <w:pStyle w:val="FirstParagraph"/>
      </w:pPr>
      <w:r>
        <w:t xml:space="preserve">The lifecycle stages mapped for nkjfnlonwy include:</w:t>
      </w:r>
    </w:p>
    <w:p>
      <w:pPr>
        <w:numPr>
          <w:ilvl w:val="0"/>
          <w:numId w:val="1002"/>
        </w:numPr>
        <w:pStyle w:val="Compact"/>
      </w:pPr>
      <w:r>
        <w:rPr>
          <w:bCs/>
          <w:b/>
        </w:rPr>
        <w:t xml:space="preserve">Material Acquisition &amp; Pre-processing:</w:t>
      </w:r>
      <w:r>
        <w:t xml:space="preserve"> </w:t>
      </w:r>
      <w:r>
        <w:t xml:space="preserve">Extraction, processing, and refining of raw materials.</w:t>
      </w:r>
    </w:p>
    <w:p>
      <w:pPr>
        <w:numPr>
          <w:ilvl w:val="0"/>
          <w:numId w:val="1002"/>
        </w:numPr>
        <w:pStyle w:val="Compact"/>
      </w:pPr>
      <w:r>
        <w:rPr>
          <w:bCs/>
          <w:b/>
        </w:rPr>
        <w:t xml:space="preserve">Manufacturing:</w:t>
      </w:r>
      <w:r>
        <w:t xml:space="preserve"> </w:t>
      </w:r>
      <w:r>
        <w:t xml:space="preserve">Production and assembly of the product at xnviiyohhl\'s facility.</w:t>
      </w:r>
    </w:p>
    <w:p>
      <w:pPr>
        <w:numPr>
          <w:ilvl w:val="0"/>
          <w:numId w:val="1002"/>
        </w:numPr>
        <w:pStyle w:val="Compact"/>
      </w:pPr>
      <w:r>
        <w:rPr>
          <w:bCs/>
          <w:b/>
        </w:rPr>
        <w:t xml:space="preserve">Transport:</w:t>
      </w:r>
      <w:r>
        <w:t xml:space="preserve"> </w:t>
      </w:r>
      <w:r>
        <w:t xml:space="preserve">Upstream transportation of raw materials and components to the manufacturing facility.</w:t>
      </w:r>
    </w:p>
    <w:p>
      <w:pPr>
        <w:numPr>
          <w:ilvl w:val="0"/>
          <w:numId w:val="1002"/>
        </w:numPr>
        <w:pStyle w:val="Compact"/>
      </w:pPr>
      <w:r>
        <w:rPr>
          <w:bCs/>
          <w:b/>
        </w:rPr>
        <w:t xml:space="preserve">Use Phase:</w:t>
      </w:r>
      <w:r>
        <w:t xml:space="preserve"> </w:t>
      </w:r>
      <w:r>
        <w:t xml:space="preserve">Energy consumption during the product\'s lifespan.</w:t>
      </w:r>
    </w:p>
    <w:p>
      <w:pPr>
        <w:numPr>
          <w:ilvl w:val="0"/>
          <w:numId w:val="1002"/>
        </w:numPr>
        <w:pStyle w:val="Compact"/>
      </w:pPr>
      <w:r>
        <w:rPr>
          <w:bCs/>
          <w:b/>
        </w:rPr>
        <w:t xml:space="preserve">End-of-Life (EoL):</w:t>
      </w:r>
      <w:r>
        <w:t xml:space="preserve"> </w:t>
      </w:r>
      <w:r>
        <w:t xml:space="preserve">Disposal, recycling, and circular economy impacts at the end of the product\'s useful life.</w:t>
      </w:r>
    </w:p>
    <w:p>
      <w:r>
        <w:pict>
          <v:rect style="width:0;height:1.5pt" o:hralign="center" o:hrstd="t" o:hr="t"/>
        </w:pict>
      </w:r>
    </w:p>
    <w:bookmarkEnd w:id="23"/>
    <w:bookmarkEnd w:id="24"/>
    <w:bookmarkStart w:id="30" w:name="data-collection-and-inputs"/>
    <w:p>
      <w:pPr>
        <w:pStyle w:val="Heading2"/>
      </w:pPr>
      <w:r>
        <w:t xml:space="preserve">3. Data Collection and Inputs</w:t>
      </w:r>
    </w:p>
    <w:p>
      <w:pPr>
        <w:pStyle w:val="FirstParagraph"/>
      </w:pPr>
      <w:r>
        <w:t xml:space="preserve">This section details the primary and secondary data points collected for the analysis, focusing on the specific parameters provided.</w:t>
      </w:r>
    </w:p>
    <w:bookmarkStart w:id="25" w:name="Xafc6dc5f04eb2e518ad96dab3f6170503fd16cd"/>
    <w:p>
      <w:pPr>
        <w:pStyle w:val="Heading3"/>
      </w:pPr>
      <w:r>
        <w:t xml:space="preserve">3.1. Detailed Bill of Materials (BOM) - (itftyodq)</w:t>
      </w:r>
    </w:p>
    <w:p>
      <w:pPr>
        <w:pStyle w:val="FirstParagraph"/>
      </w:pPr>
      <w:r>
        <w:t xml:space="preserve">The material impact calculation for nkjfnlonwy is based on the provided Bill of Materials, ensuring high accuracy by using specific emission factors and total carbon values per item.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7"/>
          </w:tcPr>
          <w:p>
            <w:pPr>
              <w:pStyle w:val="Compact"/>
              <w:jc w:val="right"/>
            </w:pPr>
            <w:r>
              <w:rPr>
                <w:bCs/>
                <w:b/>
              </w:rPr>
              <w:t xml:space="preserve">Total Material Mass:</w:t>
            </w:r>
          </w:p>
        </w:tc>
        <w:tc>
          <w:tcPr/>
          <w:p>
            <w:pPr>
              <w:pStyle w:val="Compact"/>
              <w:jc w:val="left"/>
            </w:pPr>
            <w:r>
              <w:rPr>
                <w:bCs/>
                <w:b/>
              </w:rPr>
              <w:t xml:space="preserve">0.85 kg</w:t>
            </w:r>
          </w:p>
        </w:tc>
      </w:tr>
      <w:tr>
        <w:tc>
          <w:tcPr>
            <w:gridSpan w:val="7"/>
          </w:tcPr>
          <w:p>
            <w:pPr>
              <w:pStyle w:val="Compact"/>
              <w:jc w:val="right"/>
            </w:pPr>
            <w:r>
              <w:rPr>
                <w:bCs/>
                <w:b/>
              </w:rPr>
              <w:t xml:space="preserve">Total Material Acquisition Emissions:</w:t>
            </w:r>
          </w:p>
        </w:tc>
        <w:tc>
          <w:tcPr/>
          <w:p>
            <w:pPr>
              <w:pStyle w:val="Compact"/>
              <w:jc w:val="left"/>
            </w:pPr>
            <w:r>
              <w:rPr>
                <w:bCs/>
                <w:b/>
              </w:rPr>
              <w:t xml:space="preserve">3.00 kg CO2e</w:t>
            </w:r>
          </w:p>
        </w:tc>
      </w:tr>
    </w:tbl>
    <w:bookmarkEnd w:id="25"/>
    <w:bookmarkStart w:id="26" w:name="energy-inputs-for-production"/>
    <w:p>
      <w:pPr>
        <w:pStyle w:val="Heading3"/>
      </w:pPr>
      <w:r>
        <w:t xml:space="preserve">3.2. Energy Inputs for Production</w:t>
      </w:r>
    </w:p>
    <w:p>
      <w:pPr>
        <w:numPr>
          <w:ilvl w:val="0"/>
          <w:numId w:val="1003"/>
        </w:numPr>
        <w:pStyle w:val="Compact"/>
      </w:pPr>
      <w:r>
        <w:rPr>
          <w:bCs/>
          <w:b/>
        </w:rPr>
        <w:t xml:space="preserve">Renewable Energy Usage (kehvzusuzy):</w:t>
      </w:r>
      <w:r>
        <w:t xml:space="preserve"> </w:t>
      </w:r>
      <w:r>
        <w:t xml:space="preserve">60%</w:t>
      </w:r>
    </w:p>
    <w:p>
      <w:pPr>
        <w:numPr>
          <w:ilvl w:val="0"/>
          <w:numId w:val="1003"/>
        </w:numPr>
        <w:pStyle w:val="Compact"/>
      </w:pPr>
      <w:r>
        <w:rPr>
          <w:bCs/>
          <w:b/>
        </w:rPr>
        <w:t xml:space="preserve">Energy Intensity (fkotowwwnf):</w:t>
      </w:r>
      <w:r>
        <w:t xml:space="preserve"> </w:t>
      </w:r>
      <w:r>
        <w:t xml:space="preserve">15 kWh/unit</w:t>
      </w:r>
    </w:p>
    <w:p>
      <w:pPr>
        <w:numPr>
          <w:ilvl w:val="0"/>
          <w:numId w:val="1003"/>
        </w:numPr>
        <w:pStyle w:val="Compact"/>
      </w:pPr>
      <w:r>
        <w:rPr>
          <w:bCs/>
          <w:b/>
        </w:rPr>
        <w:t xml:space="preserve">Geographic Scope for Production:</w:t>
      </w:r>
      <w:r>
        <w:t xml:space="preserve"> </w:t>
      </w:r>
      <w:r>
        <w:t xml:space="preserve">China</w:t>
      </w:r>
    </w:p>
    <w:bookmarkEnd w:id="26"/>
    <w:bookmarkStart w:id="27" w:name="logistics-data"/>
    <w:p>
      <w:pPr>
        <w:pStyle w:val="Heading3"/>
      </w:pPr>
      <w:r>
        <w:t xml:space="preserve">3.3. Logistics Data</w:t>
      </w:r>
    </w:p>
    <w:p>
      <w:pPr>
        <w:numPr>
          <w:ilvl w:val="0"/>
          <w:numId w:val="1004"/>
        </w:numPr>
        <w:pStyle w:val="Compact"/>
      </w:pPr>
      <w:r>
        <w:rPr>
          <w:bCs/>
          <w:b/>
        </w:rPr>
        <w:t xml:space="preserve">Primary Transport Mode (Select Mode):</w:t>
      </w:r>
      <w:r>
        <w:t xml:space="preserve"> </w:t>
      </w:r>
      <w:r>
        <w:t xml:space="preserve">Road Freight</w:t>
      </w:r>
    </w:p>
    <w:p>
      <w:pPr>
        <w:numPr>
          <w:ilvl w:val="0"/>
          <w:numId w:val="1004"/>
        </w:numPr>
        <w:pStyle w:val="Compact"/>
      </w:pPr>
      <w:r>
        <w:rPr>
          <w:bCs/>
          <w:b/>
        </w:rPr>
        <w:t xml:space="preserve">Primary Transport Distance (gjhiqeiwyf):</w:t>
      </w:r>
      <w:r>
        <w:t xml:space="preserve"> </w:t>
      </w:r>
      <w:r>
        <w:t xml:space="preserve">1500 km (for raw materials/components)</w:t>
      </w:r>
    </w:p>
    <w:p>
      <w:pPr>
        <w:numPr>
          <w:ilvl w:val="0"/>
          <w:numId w:val="1004"/>
        </w:numPr>
        <w:pStyle w:val="Compact"/>
      </w:pPr>
      <w:r>
        <w:rPr>
          <w:bCs/>
          <w:b/>
        </w:rPr>
        <w:t xml:space="preserve">Last-Mile Delivery Channel (Delivery Type):</w:t>
      </w:r>
      <w:r>
        <w:t xml:space="preserve"> </w:t>
      </w:r>
      <w:r>
        <w:t xml:space="preserve">Standard Van Delivery (Note: For the finished product, this would typically fall outside a strict \'factory_gate\' system boundary. It is acknowledged as a downstream impact if considered for a full cradle-to-customer scope, but not quantified in this factory_gate-focused report unless as an inbound component delivery.)</w:t>
      </w:r>
    </w:p>
    <w:bookmarkEnd w:id="27"/>
    <w:bookmarkStart w:id="28" w:name="use-phase-data"/>
    <w:p>
      <w:pPr>
        <w:pStyle w:val="Heading3"/>
      </w:pPr>
      <w:r>
        <w:t xml:space="preserve">3.4. Use Phase Data</w:t>
      </w:r>
    </w:p>
    <w:p>
      <w:pPr>
        <w:numPr>
          <w:ilvl w:val="0"/>
          <w:numId w:val="1005"/>
        </w:numPr>
        <w:pStyle w:val="Compact"/>
      </w:pPr>
      <w:r>
        <w:rPr>
          <w:bCs/>
          <w:b/>
        </w:rPr>
        <w:t xml:space="preserve">Product Lifespan (drjjiuovlm):</w:t>
      </w:r>
      <w:r>
        <w:t xml:space="preserve"> </w:t>
      </w:r>
      <w:r>
        <w:t xml:space="preserve">7 years</w:t>
      </w:r>
    </w:p>
    <w:p>
      <w:pPr>
        <w:numPr>
          <w:ilvl w:val="0"/>
          <w:numId w:val="1005"/>
        </w:numPr>
        <w:pStyle w:val="Compact"/>
      </w:pPr>
      <w:r>
        <w:rPr>
          <w:bCs/>
          <w:b/>
        </w:rPr>
        <w:t xml:space="preserve">Energy Consumption in Use (opxifkyrem):</w:t>
      </w:r>
      <w:r>
        <w:t xml:space="preserve"> </w:t>
      </w:r>
      <w:r>
        <w:t xml:space="preserve">25 kWh/year</w:t>
      </w:r>
    </w:p>
    <w:bookmarkEnd w:id="28"/>
    <w:bookmarkStart w:id="29" w:name="end-of-life-eol-scenarios"/>
    <w:p>
      <w:pPr>
        <w:pStyle w:val="Heading3"/>
      </w:pPr>
      <w:r>
        <w:t xml:space="preserve">3.5. End-of-Life (EoL) Scenarios</w:t>
      </w:r>
    </w:p>
    <w:p>
      <w:pPr>
        <w:numPr>
          <w:ilvl w:val="0"/>
          <w:numId w:val="1006"/>
        </w:numPr>
        <w:pStyle w:val="Compact"/>
      </w:pPr>
      <w:r>
        <w:rPr>
          <w:bCs/>
          <w:b/>
        </w:rPr>
        <w:t xml:space="preserve">Recyclability Percentage (wzlrzwsyhe):</w:t>
      </w:r>
      <w:r>
        <w:t xml:space="preserve"> </w:t>
      </w:r>
      <w:r>
        <w:t xml:space="preserve">85%</w:t>
      </w:r>
    </w:p>
    <w:p>
      <w:pPr>
        <w:numPr>
          <w:ilvl w:val="0"/>
          <w:numId w:val="1006"/>
        </w:numPr>
        <w:pStyle w:val="Compact"/>
      </w:pPr>
      <w:r>
        <w:rPr>
          <w:bCs/>
          <w:b/>
        </w:rPr>
        <w:t xml:space="preserve">Circular/Take-back Programs (ledntymqli):</w:t>
      </w:r>
      <w:r>
        <w:t xml:space="preserve"> </w:t>
      </w:r>
      <w:r>
        <w:t xml:space="preserve">Product take-back and refurbishment program available</w:t>
      </w:r>
    </w:p>
    <w:p>
      <w:r>
        <w:pict>
          <v:rect style="width:0;height:1.5pt" o:hralign="center" o:hrstd="t" o:hr="t"/>
        </w:pict>
      </w:r>
    </w:p>
    <w:bookmarkEnd w:id="29"/>
    <w:bookmarkEnd w:id="30"/>
    <w:bookmarkStart w:id="39" w:name="emission-calculation"/>
    <w:p>
      <w:pPr>
        <w:pStyle w:val="Heading2"/>
      </w:pPr>
      <w:r>
        <w:t xml:space="preserve">4. Emission Calculation</w:t>
      </w:r>
    </w:p>
    <w:p>
      <w:pPr>
        <w:pStyle w:val="FirstParagraph"/>
      </w:pPr>
      <w:r>
        <w:t xml:space="preserve">Emissions are calculated by multiplying activity data by relevant industry-standard emission factors (e.g., from Ecoinvent/DEFRA equivalents) to determine CO2e. The following emission factors were utilized:</w:t>
      </w:r>
    </w:p>
    <w:p>
      <w:pPr>
        <w:numPr>
          <w:ilvl w:val="0"/>
          <w:numId w:val="1007"/>
        </w:numPr>
        <w:pStyle w:val="Compact"/>
      </w:pPr>
      <w:r>
        <w:rPr>
          <w:bCs/>
          <w:b/>
        </w:rPr>
        <w:t xml:space="preserve">China Electricity Grid Mix:</w:t>
      </w:r>
      <w:r>
        <w:t xml:space="preserve"> </w:t>
      </w:r>
      <w:r>
        <w:t xml:space="preserve">0.65 kg CO2e/kWh (estimated average based on IEA/MEE data for 2021-2022).</w:t>
      </w:r>
    </w:p>
    <w:p>
      <w:pPr>
        <w:numPr>
          <w:ilvl w:val="0"/>
          <w:numId w:val="1007"/>
        </w:numPr>
        <w:pStyle w:val="Compact"/>
      </w:pPr>
      <w:r>
        <w:rPr>
          <w:bCs/>
          <w:b/>
        </w:rPr>
        <w:t xml:space="preserve">Road Freight (Heavy Duty Lorry):</w:t>
      </w:r>
      <w:r>
        <w:t xml:space="preserve"> </w:t>
      </w:r>
      <w:r>
        <w:t xml:space="preserve">0.1 kg CO2e/tkm (tonne-kilometer).</w:t>
      </w:r>
    </w:p>
    <w:p>
      <w:pPr>
        <w:numPr>
          <w:ilvl w:val="0"/>
          <w:numId w:val="1007"/>
        </w:numPr>
        <w:pStyle w:val="Compact"/>
      </w:pPr>
      <w:r>
        <w:rPr>
          <w:bCs/>
          <w:b/>
        </w:rPr>
        <w:t xml:space="preserve">Recycling Credit (e.g., plastic):</w:t>
      </w:r>
      <w:r>
        <w:t xml:space="preserve"> </w:t>
      </w:r>
      <w:r>
        <w:t xml:space="preserve">-1.5 kg CO2e/kg (simplified avoided emission for virgin plastic production, assuming effective closed-loop system).</w:t>
      </w:r>
    </w:p>
    <w:p>
      <w:pPr>
        <w:numPr>
          <w:ilvl w:val="0"/>
          <w:numId w:val="1007"/>
        </w:numPr>
        <w:pStyle w:val="Compact"/>
      </w:pPr>
      <w:r>
        <w:rPr>
          <w:bCs/>
          <w:b/>
        </w:rPr>
        <w:t xml:space="preserve">Disposal (Landfill for inert waste):</w:t>
      </w:r>
      <w:r>
        <w:t xml:space="preserve"> </w:t>
      </w:r>
      <w:r>
        <w:t xml:space="preserve">0.01 kg CO2e/kg (simplified average for plastics/mixed inert waste to landfill).</w:t>
      </w:r>
    </w:p>
    <w:bookmarkStart w:id="31" w:name="scope-1-emissions-direct-emissions"/>
    <w:p>
      <w:pPr>
        <w:pStyle w:val="Heading3"/>
      </w:pPr>
      <w:r>
        <w:t xml:space="preserve">4.1. Scope 1 Emissions (Direct Emissions)</w:t>
      </w:r>
    </w:p>
    <w:p>
      <w:pPr>
        <w:pStyle w:val="FirstParagraph"/>
      </w:pPr>
      <w:r>
        <w:t xml:space="preserve">No direct emissions (e.g., on-site fuel combustion, process emissions) were specified or estimated for xnviiyohhl\'s direct operations for nkjfnlonwy\'s manufacturing. Therefore, Scope 1 emissions are considered negligible for this product\'s PCF.</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Scope 1 Category</w:t>
            </w:r>
          </w:p>
        </w:tc>
        <w:tc>
          <w:tcPr/>
          <w:p>
            <w:pPr>
              <w:pStyle w:val="Compact"/>
              <w:jc w:val="left"/>
            </w:pPr>
            <w:r>
              <w:t xml:space="preserve">Emissions (kg CO2e)</w:t>
            </w:r>
          </w:p>
        </w:tc>
      </w:tr>
      <w:tr>
        <w:tc>
          <w:tcPr/>
          <w:p>
            <w:pPr>
              <w:pStyle w:val="Compact"/>
              <w:jc w:val="left"/>
            </w:pPr>
            <w:r>
              <w:t xml:space="preserve">Direct Emissions (e.g., stationary combustion)</w:t>
            </w:r>
          </w:p>
        </w:tc>
        <w:tc>
          <w:tcPr/>
          <w:p>
            <w:pPr>
              <w:pStyle w:val="Compact"/>
              <w:jc w:val="left"/>
            </w:pPr>
            <w:r>
              <w:t xml:space="preserve">0.00</w:t>
            </w:r>
          </w:p>
        </w:tc>
      </w:tr>
      <w:tr>
        <w:tc>
          <w:tcPr/>
          <w:p>
            <w:pPr>
              <w:pStyle w:val="Compact"/>
              <w:jc w:val="left"/>
            </w:pPr>
            <w:r>
              <w:rPr>
                <w:bCs/>
                <w:b/>
              </w:rPr>
              <w:t xml:space="preserve">Total Scope 1 Emissions</w:t>
            </w:r>
          </w:p>
        </w:tc>
        <w:tc>
          <w:tcPr/>
          <w:p>
            <w:pPr>
              <w:pStyle w:val="Compact"/>
              <w:jc w:val="left"/>
            </w:pPr>
            <w:r>
              <w:rPr>
                <w:bCs/>
                <w:b/>
              </w:rPr>
              <w:t xml:space="preserve">0.00</w:t>
            </w:r>
          </w:p>
        </w:tc>
      </w:tr>
    </w:tbl>
    <w:bookmarkEnd w:id="31"/>
    <w:bookmarkStart w:id="32"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product\'s manufacturing phase.</w:t>
      </w:r>
    </w:p>
    <w:p>
      <w:pPr>
        <w:numPr>
          <w:ilvl w:val="0"/>
          <w:numId w:val="1008"/>
        </w:numPr>
        <w:pStyle w:val="Compact"/>
      </w:pPr>
      <w:r>
        <w:t xml:space="preserve">Total Energy Intensity: 15 kWh/unit</w:t>
      </w:r>
    </w:p>
    <w:p>
      <w:pPr>
        <w:numPr>
          <w:ilvl w:val="0"/>
          <w:numId w:val="1008"/>
        </w:numPr>
        <w:pStyle w:val="Compact"/>
      </w:pPr>
      <w:r>
        <w:t xml:space="preserve">Renewable Energy Usage: 60%</w:t>
      </w:r>
    </w:p>
    <w:p>
      <w:pPr>
        <w:numPr>
          <w:ilvl w:val="0"/>
          <w:numId w:val="1008"/>
        </w:numPr>
        <w:pStyle w:val="Compact"/>
      </w:pPr>
      <w:r>
        <w:t xml:space="preserve">Non-renewable energy from grid: 15 kWh/unit * (1 - 0.60) = 6 kWh/unit</w:t>
      </w:r>
    </w:p>
    <w:p>
      <w:pPr>
        <w:numPr>
          <w:ilvl w:val="0"/>
          <w:numId w:val="1008"/>
        </w:numPr>
        <w:pStyle w:val="Compact"/>
      </w:pPr>
      <w:r>
        <w:t xml:space="preserve">China Grid Emission Factor: 0.65 kg CO2e/kWh</w:t>
      </w:r>
    </w:p>
    <w:p>
      <w:pPr>
        <w:pStyle w:val="FirstParagraph"/>
      </w:pPr>
      <w:r>
        <w:rPr>
          <w:bCs/>
          <w:b/>
        </w:rPr>
        <w:t xml:space="preserve">Calculation:</w:t>
      </w:r>
      <w:r>
        <w:t xml:space="preserve"> </w:t>
      </w:r>
      <w:r>
        <w:t xml:space="preserve">6 kWh/unit * 0.65 kg CO2e/kWh = 3.90 kg CO2e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Scope 2 Category</w:t>
            </w:r>
          </w:p>
        </w:tc>
        <w:tc>
          <w:tcPr/>
          <w:p>
            <w:pPr>
              <w:pStyle w:val="Compact"/>
              <w:jc w:val="left"/>
            </w:pPr>
            <w:r>
              <w:t xml:space="preserve">Emissions (kg CO2e)</w:t>
            </w:r>
          </w:p>
        </w:tc>
      </w:tr>
      <w:tr>
        <w:tc>
          <w:tcPr/>
          <w:p>
            <w:pPr>
              <w:pStyle w:val="Compact"/>
              <w:jc w:val="left"/>
            </w:pPr>
            <w:r>
              <w:t xml:space="preserve">Purchased Electricity (Manufacturing)</w:t>
            </w:r>
          </w:p>
        </w:tc>
        <w:tc>
          <w:tcPr/>
          <w:p>
            <w:pPr>
              <w:pStyle w:val="Compact"/>
              <w:jc w:val="left"/>
            </w:pPr>
            <w:r>
              <w:t xml:space="preserve">3.90</w:t>
            </w:r>
          </w:p>
        </w:tc>
      </w:tr>
      <w:tr>
        <w:tc>
          <w:tcPr/>
          <w:p>
            <w:pPr>
              <w:pStyle w:val="Compact"/>
              <w:jc w:val="left"/>
            </w:pPr>
            <w:r>
              <w:rPr>
                <w:bCs/>
                <w:b/>
              </w:rPr>
              <w:t xml:space="preserve">Total Scope 2 Emissions</w:t>
            </w:r>
          </w:p>
        </w:tc>
        <w:tc>
          <w:tcPr/>
          <w:p>
            <w:pPr>
              <w:pStyle w:val="Compact"/>
              <w:jc w:val="left"/>
            </w:pPr>
            <w:r>
              <w:rPr>
                <w:bCs/>
                <w:b/>
              </w:rPr>
              <w:t xml:space="preserve">3.90</w:t>
            </w:r>
          </w:p>
        </w:tc>
      </w:tr>
    </w:tbl>
    <w:bookmarkEnd w:id="32"/>
    <w:bookmarkStart w:id="37" w:name="scope-3-emissions-value-chain-emissions"/>
    <w:p>
      <w:pPr>
        <w:pStyle w:val="Heading3"/>
      </w:pPr>
      <w:r>
        <w:t xml:space="preserve">4.3. Scope 3 Emissions (Value Chain Emissions)</w:t>
      </w:r>
    </w:p>
    <w:p>
      <w:pPr>
        <w:pStyle w:val="FirstParagraph"/>
      </w:pPr>
      <w:r>
        <w:t xml:space="preserve">Scope 3 emissions cover all indirect emissions occurring in the value chain. This report aims for 95% coverage of required Scope 3 emissions.</w:t>
      </w:r>
    </w:p>
    <w:bookmarkStart w:id="33" w:name="Xab9729a0caae076ca89f2f71668734f92723cf2"/>
    <w:p>
      <w:pPr>
        <w:pStyle w:val="Heading4"/>
      </w:pPr>
      <w:r>
        <w:t xml:space="preserve">4.3.1. Category 1: Purchased Goods and Services (Materials)</w:t>
      </w:r>
    </w:p>
    <w:p>
      <w:pPr>
        <w:pStyle w:val="FirstParagraph"/>
      </w:pPr>
      <w:r>
        <w:t xml:space="preserve">Emissions from the extraction, production, and manufacturing of raw materials and components, as provided in the Detailed Bill of Materials.</w:t>
      </w:r>
    </w:p>
    <w:p>
      <w:pPr>
        <w:pStyle w:val="BodyText"/>
      </w:pPr>
      <w:r>
        <w:rPr>
          <w:bCs/>
          <w:b/>
        </w:rPr>
        <w:t xml:space="preserve">Total Emissions from Materials:</w:t>
      </w:r>
      <w:r>
        <w:t xml:space="preserve"> </w:t>
      </w:r>
      <w:r>
        <w:t xml:space="preserve">3.00 kg CO2e</w:t>
      </w:r>
    </w:p>
    <w:bookmarkEnd w:id="33"/>
    <w:bookmarkStart w:id="34" w:name="X6669a43143349c25ec93e775eebde43de53a73c"/>
    <w:p>
      <w:pPr>
        <w:pStyle w:val="Heading4"/>
      </w:pPr>
      <w:r>
        <w:t xml:space="preserve">4.3.2. Category 4: Upstream Transportation and Distribution</w:t>
      </w:r>
    </w:p>
    <w:p>
      <w:pPr>
        <w:pStyle w:val="FirstParagraph"/>
      </w:pPr>
      <w:r>
        <w:t xml:space="preserve">Emissions from the transportation of raw materials and components to xnviiyohhl\'s manufacturing facility.</w:t>
      </w:r>
    </w:p>
    <w:p>
      <w:pPr>
        <w:numPr>
          <w:ilvl w:val="0"/>
          <w:numId w:val="1009"/>
        </w:numPr>
        <w:pStyle w:val="Compact"/>
      </w:pPr>
      <w:r>
        <w:t xml:space="preserve">Total Product Mass (for materials transport reference): 0.85 kg = 0.00085 tonnes</w:t>
      </w:r>
    </w:p>
    <w:p>
      <w:pPr>
        <w:numPr>
          <w:ilvl w:val="0"/>
          <w:numId w:val="1009"/>
        </w:numPr>
        <w:pStyle w:val="Compact"/>
      </w:pPr>
      <w:r>
        <w:t xml:space="preserve">Primary Transport Distance (Road Freight): 1500 km (gjhiqeiwyf)</w:t>
      </w:r>
    </w:p>
    <w:p>
      <w:pPr>
        <w:numPr>
          <w:ilvl w:val="0"/>
          <w:numId w:val="1009"/>
        </w:numPr>
        <w:pStyle w:val="Compact"/>
      </w:pPr>
      <w:r>
        <w:t xml:space="preserve">Road Freight Emission Factor: 0.1 kg CO2e/tkm</w:t>
      </w:r>
    </w:p>
    <w:p>
      <w:pPr>
        <w:pStyle w:val="FirstParagraph"/>
      </w:pPr>
      <w:r>
        <w:rPr>
          <w:bCs/>
          <w:b/>
        </w:rPr>
        <w:t xml:space="preserve">Calculation:</w:t>
      </w:r>
      <w:r>
        <w:t xml:space="preserve"> </w:t>
      </w:r>
      <w:r>
        <w:t xml:space="preserve">0.00085 tonnes * 1500 km * 0.1 kg CO2e/tkm = 0.1275 kg CO2e</w:t>
      </w:r>
    </w:p>
    <w:p>
      <w:pPr>
        <w:pStyle w:val="BodyText"/>
      </w:pPr>
      <w:r>
        <w:rPr>
          <w:iCs/>
          <w:i/>
        </w:rPr>
        <w:t xml:space="preserve">Note on Last-Mile Delivery Channel (Delivery Type):</w:t>
      </w:r>
      <w:r>
        <w:t xml:space="preserve"> </w:t>
      </w:r>
      <w:r>
        <w:t xml:space="preserve">While "Standard Van Delivery" was specified, for a strict \'factory_gate\' system boundary, downstream transportation of the finished product is typically excluded. If this refers to inbound last-mile delivery of components, specific data would be needed for quantification within this boundary. Therefore, only the primary material transport is quantified here.</w:t>
      </w:r>
    </w:p>
    <w:bookmarkEnd w:id="34"/>
    <w:bookmarkStart w:id="35" w:name="category-11-use-of-sold-products"/>
    <w:p>
      <w:pPr>
        <w:pStyle w:val="Heading4"/>
      </w:pPr>
      <w:r>
        <w:t xml:space="preserve">4.3.3. Category 11: Use of Sold Products</w:t>
      </w:r>
    </w:p>
    <w:p>
      <w:pPr>
        <w:pStyle w:val="FirstParagraph"/>
      </w:pPr>
      <w:r>
        <w:t xml:space="preserve">Emissions generated from the energy consumption during the product\'s operational lifetime by the end-user.</w:t>
      </w:r>
    </w:p>
    <w:p>
      <w:pPr>
        <w:numPr>
          <w:ilvl w:val="0"/>
          <w:numId w:val="1010"/>
        </w:numPr>
        <w:pStyle w:val="Compact"/>
      </w:pPr>
      <w:r>
        <w:t xml:space="preserve">Product Lifespan: 7 years (drjjiuovlm)</w:t>
      </w:r>
    </w:p>
    <w:p>
      <w:pPr>
        <w:numPr>
          <w:ilvl w:val="0"/>
          <w:numId w:val="1010"/>
        </w:numPr>
        <w:pStyle w:val="Compact"/>
      </w:pPr>
      <w:r>
        <w:t xml:space="preserve">Energy Consumption in Use: 25 kWh/year (opxifkyrem)</w:t>
      </w:r>
    </w:p>
    <w:p>
      <w:pPr>
        <w:numPr>
          <w:ilvl w:val="0"/>
          <w:numId w:val="1010"/>
        </w:numPr>
        <w:pStyle w:val="Compact"/>
      </w:pPr>
      <w:r>
        <w:t xml:space="preserve">Assumed End-User Electricity Emission Factor (China average): 0.65 kg CO2e/kWh</w:t>
      </w:r>
    </w:p>
    <w:p>
      <w:pPr>
        <w:pStyle w:val="FirstParagraph"/>
      </w:pPr>
      <w:r>
        <w:rPr>
          <w:bCs/>
          <w:b/>
        </w:rPr>
        <w:t xml:space="preserve">Calculation:</w:t>
      </w:r>
      <w:r>
        <w:t xml:space="preserve"> </w:t>
      </w:r>
      <w:r>
        <w:t xml:space="preserve">25 kWh/year * 7 years * 0.65 kg CO2e/kWh = 113.75 kg CO2e</w:t>
      </w:r>
    </w:p>
    <w:bookmarkEnd w:id="35"/>
    <w:bookmarkStart w:id="36" w:name="X9f66eef2700632e081dfe139021cb724ffcd2c5"/>
    <w:p>
      <w:pPr>
        <w:pStyle w:val="Heading4"/>
      </w:pPr>
      <w:r>
        <w:t xml:space="preserve">4.3.4. Category 12: End-of-Life Treatment of Sold Products</w:t>
      </w:r>
    </w:p>
    <w:p>
      <w:pPr>
        <w:pStyle w:val="FirstParagraph"/>
      </w:pPr>
      <w:r>
        <w:t xml:space="preserve">Emissions and potential credits associated with the disposal and recycling of nkjfnlonwy at the end of its useful life, incorporating circular economy impacts.</w:t>
      </w:r>
    </w:p>
    <w:p>
      <w:pPr>
        <w:numPr>
          <w:ilvl w:val="0"/>
          <w:numId w:val="1011"/>
        </w:numPr>
        <w:pStyle w:val="Compact"/>
      </w:pPr>
      <w:r>
        <w:t xml:space="preserve">Total Product Mass: 0.85 kg</w:t>
      </w:r>
    </w:p>
    <w:p>
      <w:pPr>
        <w:numPr>
          <w:ilvl w:val="0"/>
          <w:numId w:val="1011"/>
        </w:numPr>
        <w:pStyle w:val="Compact"/>
      </w:pPr>
      <w:r>
        <w:t xml:space="preserve">Recyclability Percentage: 85% (wzlrzwsyhe)</w:t>
      </w:r>
    </w:p>
    <w:p>
      <w:pPr>
        <w:numPr>
          <w:ilvl w:val="0"/>
          <w:numId w:val="1011"/>
        </w:numPr>
        <w:pStyle w:val="Compact"/>
      </w:pPr>
      <w:r>
        <w:t xml:space="preserve">Circular Programs: "Product take-back and refurbishment program available" (ledntymqli)</w:t>
      </w:r>
    </w:p>
    <w:p>
      <w:pPr>
        <w:pStyle w:val="FirstParagraph"/>
      </w:pPr>
      <w:r>
        <w:t xml:space="preserve">Given the high recyclability and established take-back program, a recycling credit is applied for the recycled portion, representing avoided virgin material production. The remaining portion is assumed to be disposed of.</w:t>
      </w:r>
    </w:p>
    <w:p>
      <w:pPr>
        <w:numPr>
          <w:ilvl w:val="0"/>
          <w:numId w:val="1012"/>
        </w:numPr>
        <w:pStyle w:val="Compact"/>
      </w:pPr>
      <w:r>
        <w:t xml:space="preserve">Recycled Mass: 0.85 kg * 0.85 = 0.7225 kg</w:t>
      </w:r>
    </w:p>
    <w:p>
      <w:pPr>
        <w:numPr>
          <w:ilvl w:val="0"/>
          <w:numId w:val="1012"/>
        </w:numPr>
        <w:pStyle w:val="Compact"/>
      </w:pPr>
      <w:r>
        <w:t xml:space="preserve">Disposed Mass: 0.85 kg * (1 - 0.85) = 0.1275 kg</w:t>
      </w:r>
    </w:p>
    <w:p>
      <w:pPr>
        <w:pStyle w:val="FirstParagraph"/>
      </w:pPr>
      <w:r>
        <w:rPr>
          <w:bCs/>
          <w:b/>
        </w:rPr>
        <w:t xml:space="preserve">Recycling Credit Calculation:</w:t>
      </w:r>
    </w:p>
    <w:p>
      <w:pPr>
        <w:numPr>
          <w:ilvl w:val="0"/>
          <w:numId w:val="1013"/>
        </w:numPr>
        <w:pStyle w:val="Compact"/>
      </w:pPr>
      <w:r>
        <w:t xml:space="preserve">For plastic components (e.g., Plastic Casing 0.5 kg): Assumed avoided emissions for recycling against virgin production: -1.5 kg CO2e/kg.</w:t>
      </w:r>
    </w:p>
    <w:p>
      <w:pPr>
        <w:numPr>
          <w:ilvl w:val="1"/>
          <w:numId w:val="1014"/>
        </w:numPr>
        <w:pStyle w:val="Compact"/>
      </w:pPr>
      <w:r>
        <w:t xml:space="preserve">0.5 kg * 0.85 (recycled portion of plastic) * (-1.5 kg CO2e/kg) = -0.6375 kg CO2e</w:t>
      </w:r>
    </w:p>
    <w:p>
      <w:pPr>
        <w:numPr>
          <w:ilvl w:val="0"/>
          <w:numId w:val="1013"/>
        </w:numPr>
        <w:pStyle w:val="Compact"/>
      </w:pPr>
      <w:r>
        <w:t xml:space="preserve">For other materials (0.35 kg): Assumed generic avoided emissions for recycling: -0.5 kg CO2e/kg.</w:t>
      </w:r>
    </w:p>
    <w:p>
      <w:pPr>
        <w:numPr>
          <w:ilvl w:val="1"/>
          <w:numId w:val="1015"/>
        </w:numPr>
        <w:pStyle w:val="Compact"/>
      </w:pPr>
      <w:r>
        <w:t xml:space="preserve">0.35 kg * 0.85 (recycled portion of other materials) * (-0.5 kg CO2e/kg) = -0.14875 kg CO2e</w:t>
      </w:r>
    </w:p>
    <w:p>
      <w:pPr>
        <w:numPr>
          <w:ilvl w:val="0"/>
          <w:numId w:val="1013"/>
        </w:numPr>
        <w:pStyle w:val="Compact"/>
      </w:pPr>
      <w:r>
        <w:rPr>
          <w:bCs/>
          <w:b/>
        </w:rPr>
        <w:t xml:space="preserve">Total Recycling Credit:</w:t>
      </w:r>
      <w:r>
        <w:t xml:space="preserve"> </w:t>
      </w:r>
      <w:r>
        <w:t xml:space="preserve">-0.6375 kg CO2e + (-0.14875 kg CO2e) = -0.78625 kg CO2e</w:t>
      </w:r>
    </w:p>
    <w:p>
      <w:pPr>
        <w:pStyle w:val="FirstParagraph"/>
      </w:pPr>
      <w:r>
        <w:rPr>
          <w:bCs/>
          <w:b/>
        </w:rPr>
        <w:t xml:space="preserve">Disposal Emissions Calculation:</w:t>
      </w:r>
    </w:p>
    <w:p>
      <w:pPr>
        <w:numPr>
          <w:ilvl w:val="0"/>
          <w:numId w:val="1016"/>
        </w:numPr>
        <w:pStyle w:val="Compact"/>
      </w:pPr>
      <w:r>
        <w:t xml:space="preserve">Disposed Mass: 0.1275 kg</w:t>
      </w:r>
    </w:p>
    <w:p>
      <w:pPr>
        <w:numPr>
          <w:ilvl w:val="0"/>
          <w:numId w:val="1016"/>
        </w:numPr>
        <w:pStyle w:val="Compact"/>
      </w:pPr>
      <w:r>
        <w:t xml:space="preserve">Assumed Disposal Emission Factor (Landfill/Mixed Waste): 0.01 kg CO2e/kg</w:t>
      </w:r>
    </w:p>
    <w:p>
      <w:pPr>
        <w:numPr>
          <w:ilvl w:val="0"/>
          <w:numId w:val="1016"/>
        </w:numPr>
        <w:pStyle w:val="Compact"/>
      </w:pPr>
      <w:r>
        <w:rPr>
          <w:bCs/>
          <w:b/>
        </w:rPr>
        <w:t xml:space="preserve">Total Disposal Emissions:</w:t>
      </w:r>
      <w:r>
        <w:t xml:space="preserve"> </w:t>
      </w:r>
      <w:r>
        <w:t xml:space="preserve">0.1275 kg * 0.01 kg CO2e/kg = 0.001275 kg CO2e</w:t>
      </w:r>
    </w:p>
    <w:p>
      <w:pPr>
        <w:pStyle w:val="FirstParagraph"/>
      </w:pPr>
      <w:r>
        <w:rPr>
          <w:bCs/>
          <w:b/>
        </w:rPr>
        <w:t xml:space="preserve">Total End-of-Life Emissions:</w:t>
      </w:r>
      <w:r>
        <w:t xml:space="preserve"> </w:t>
      </w:r>
      <w:r>
        <w:t xml:space="preserve">-0.78625 kg CO2e + 0.001275 kg CO2e = -0.784975 kg CO2e</w:t>
      </w:r>
    </w:p>
    <w:p>
      <w:r>
        <w:pict>
          <v:rect style="width:0;height:1.5pt" o:hralign="center" o:hrstd="t" o:hr="t"/>
        </w:pict>
      </w:r>
    </w:p>
    <w:bookmarkEnd w:id="36"/>
    <w:bookmarkEnd w:id="37"/>
    <w:bookmarkStart w:id="38" w:name="Xf6fac3ccbedfcb553bf1ab9d001eea498ce30f3"/>
    <w:p>
      <w:pPr>
        <w:pStyle w:val="Heading3"/>
      </w:pPr>
      <w:r>
        <w:t xml:space="preserve">4.4. Summary of Emissions by Scope and Category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3.90</w:t>
            </w:r>
          </w:p>
        </w:tc>
      </w:tr>
      <w:tr>
        <w:tc>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3.00</w:t>
            </w:r>
          </w:p>
        </w:tc>
      </w:tr>
      <w:tr>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0.13</w:t>
            </w:r>
          </w:p>
        </w:tc>
      </w:tr>
      <w:tr>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113.75</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-0.78</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119.99</w:t>
            </w:r>
          </w:p>
        </w:tc>
      </w:tr>
    </w:tbl>
    <w:p>
      <w:r>
        <w:pict>
          <v:rect style="width:0;height:1.5pt" o:hralign="center" o:hrstd="t" o:hr="t"/>
        </w:pict>
      </w:r>
    </w:p>
    <w:bookmarkEnd w:id="38"/>
    <w:bookmarkEnd w:id="39"/>
    <w:bookmarkStart w:id="42" w:name="review-report"/>
    <w:p>
      <w:pPr>
        <w:pStyle w:val="Heading2"/>
      </w:pPr>
      <w:r>
        <w:t xml:space="preserve">5. Review &amp; Report</w:t>
      </w:r>
    </w:p>
    <w:bookmarkStart w:id="40" w:name="hotspots-and-reliability"/>
    <w:p>
      <w:pPr>
        <w:pStyle w:val="Heading3"/>
      </w:pPr>
      <w:r>
        <w:t xml:space="preserve">5.1. Hotspots and Reliability</w:t>
      </w:r>
    </w:p>
    <w:p>
      <w:pPr>
        <w:pStyle w:val="FirstParagraph"/>
      </w:pPr>
      <w:r>
        <w:t xml:space="preserve">The analysis clearly identifies the **Use Phase (113.75 kg CO2e)** as the most significant contributor to the overall Product Carbon Footprint of nkjfnlonwy, accounting for approximately 94.8% of the total emissions. This is primarily driven by the product\'s lifespan and annual energy consumption. Material Acquisition and Manufacturing also contribute, though to a much lesser extent. The End-of-Life stage demonstrates a net carbon removal due to the high recyclability and the associated avoided emissions from virgin material production.</w:t>
      </w:r>
    </w:p>
    <w:p>
      <w:pPr>
        <w:pStyle w:val="BodyText"/>
      </w:pPr>
      <w:r>
        <w:t xml:space="preserve">The reliability of this report is dependent on the accuracy and completeness of the provided input parameters and the industry-average emission factors used. While specific BOM data was provided, some generic parameters required assumptions based on common practices and publicly available data. Further improvement in data granularity, especially for upstream supply chain emissions and country-specific energy factors for the use phase, would enhance accuracy.</w:t>
      </w:r>
    </w:p>
    <w:bookmarkEnd w:id="40"/>
    <w:bookmarkStart w:id="41" w:name="ghg-protocol-compliance-and-2026-updates"/>
    <w:p>
      <w:pPr>
        <w:pStyle w:val="Heading3"/>
      </w:pPr>
      <w:r>
        <w:t xml:space="preserve">5.2. GHG Protocol Compliance and 2026 Updates</w:t>
      </w:r>
    </w:p>
    <w:p>
      <w:pPr>
        <w:pStyle w:val="FirstParagraph"/>
      </w:pPr>
      <w:r>
        <w:t xml:space="preserve">This report adheres to the GHG Protocol Corporate Accounting and Reporting Standard and the Corporate Value Chain (Scope 3) Accounting and Reporting Standard. All relevant Scope 1, Scope 2, and Scope 3 categories derived from the provided data have been quantified.</w:t>
      </w:r>
    </w:p>
    <w:p>
      <w:pPr>
        <w:pStyle w:val="BodyText"/>
      </w:pPr>
      <w:r>
        <w:t xml:space="preserve">The proposed 2026 GHG Protocol Scope 3 Standard update emphasizes a 95% coverage requirement for total required Scope 3 emissions. Based on the parameters provided for nkjfnlonwy, the quantified Scope 3 categories (Category 1, 4, 11, 12) represent 100% of the emissions for which data was available, thus meeting this proposed requirement within the defined scope.</w:t>
      </w:r>
    </w:p>
    <w:p>
      <w:pPr>
        <w:pStyle w:val="BodyText"/>
      </w:pPr>
      <w:r>
        <w:t xml:space="preserve">The GHG Protocol Land Sector and Removals (LSR) Standard v1.0, released on January 30, 2026, is set to take effect on January 1, 2027. While this product\'s lifecycle does not overtly involve significant land-use change or agricultural processes, the LSR Standard is acknowledged as a crucial development for companies with such activities, providing a unified framework for measuring and reporting land-related GHG emissions and CO2 removals. Its impact on future PCF analyses for products with biogenic components or land-intensive supply chains will be significant.</w:t>
      </w:r>
    </w:p>
    <w:p>
      <w:r>
        <w:pict>
          <v:rect style="width:0;height:1.5pt" o:hralign="center" o:hrstd="t" o:hr="t"/>
        </w:pict>
      </w:r>
    </w:p>
    <w:p>
      <w:pPr>
        <w:pStyle w:val="FirstParagraph"/>
      </w:pPr>
      <w:r>
        <w:t xml:space="preserve">Confidential - Internal Use Only | Page</w:t>
      </w:r>
      <w:r>
        <w:t xml:space="preserve"> </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nkjfnlonwy</dc:title>
  <dc:creator/>
  <dc:description>Detailed Product Carbon Footprint (PCF) analysis for nkjfnlonwy by jgvjhwsrvj, Senior Sustainability Consultant at xnviiyohhl, following GHG Protocol standards with a focus on 2026 updates.</dc:description>
  <dc:language>en</dc:language>
  <cp:keywords/>
  <dcterms:created xsi:type="dcterms:W3CDTF">2026-05-30T23:01:22Z</dcterms:created>
  <dcterms:modified xsi:type="dcterms:W3CDTF">2026-05-30T23:01:22Z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