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njqygioqlh</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njqygioqlh</w:t>
      </w:r>
    </w:p>
    <w:p>
      <w:pPr>
        <w:pStyle w:val="BodyText"/>
      </w:pPr>
      <w:r>
        <w:t xml:space="preserve">Company Name:</w:t>
      </w:r>
      <w:r>
        <w:t xml:space="preserve"> </w:t>
      </w:r>
      <w:r>
        <w:rPr>
          <w:bCs/>
          <w:b/>
        </w:rPr>
        <w:t xml:space="preserve">rpkkjgmmge</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zmxdsrllzm</w:t>
      </w:r>
    </w:p>
    <w:p>
      <w:pPr>
        <w:pStyle w:val="BodyText"/>
      </w:pPr>
      <w:r>
        <w:t xml:space="preserve">*Disclaimer: This report is generated based on available data and industry standards. While every effort has been made to ensure accuracy, the actual carbon footprint may vary depending on specific operational details, supply chain variations, and the precision of emission factors used. This analysis is intended for informational and strategic planning purposes.*</w:t>
      </w:r>
    </w:p>
    <w:bookmarkEnd w:id="20"/>
    <w:bookmarkStart w:id="44" w:name="Xb73f7c4010d9871a33779ac009a748bcb44a36f"/>
    <w:p>
      <w:pPr>
        <w:pStyle w:val="Heading1"/>
      </w:pPr>
      <w:r>
        <w:t xml:space="preserve">Product Carbon Footprint Analysis for njqygioqlh</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the product</w:t>
      </w:r>
      <w:r>
        <w:t xml:space="preserve"> </w:t>
      </w:r>
      <w:r>
        <w:rPr>
          <w:bCs/>
          <w:b/>
        </w:rPr>
        <w:t xml:space="preserve">njqygioqlh</w:t>
      </w:r>
      <w:r>
        <w:t xml:space="preserve"> </w:t>
      </w:r>
      <w:r>
        <w:t xml:space="preserve">manufactured by</w:t>
      </w:r>
      <w:r>
        <w:t xml:space="preserve"> </w:t>
      </w:r>
      <w:r>
        <w:rPr>
          <w:bCs/>
          <w:b/>
        </w:rPr>
        <w:t xml:space="preserve">rpkkjgmmge</w:t>
      </w:r>
      <w:r>
        <w:t xml:space="preserve">. Conducted by Senior Sustainability Consultant</w:t>
      </w:r>
      <w:r>
        <w:t xml:space="preserve"> </w:t>
      </w:r>
      <w:r>
        <w:rPr>
          <w:bCs/>
          <w:b/>
        </w:rPr>
        <w:t xml:space="preserve">zmxdsrllzm</w:t>
      </w:r>
      <w:r>
        <w:t xml:space="preserve">, this analysis adheres strictly to the GHG Protocol accounting standard, incorporating the 2026 Land Sector and Removals (LSR) Standard for land use and carbon removals, and ensuring over 95% coverage for Scope 3 emissions in line with forthcoming requirements. The assessment covers the entire lifecycle of the product from raw material extraction to end-of-life, providing a comprehensive understanding of its environmental impact. The total carbon footprint for one functional unit of njqygioqlh is calculated to be approximately</w:t>
      </w:r>
      <w:r>
        <w:t xml:space="preserve"> </w:t>
      </w:r>
      <w:r>
        <w:rPr>
          <w:bCs/>
          <w:b/>
        </w:rPr>
        <w:t xml:space="preserve">55.69 kg CO2e</w:t>
      </w:r>
      <w:r>
        <w:t xml:space="preserve">. The use phase is identified as the primary hotspot, followed by material acquisition and production energy. The significant recyclability and circular programs implemented positively impact the end-of-life emissions.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njqygioqlh follows a rigorous five-step methodology in accordance with the GHG Protocol, ensuring accuracy, transparency, and completeness:</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w:t>
      </w:r>
      <w:r>
        <w:t xml:space="preserve"> </w:t>
      </w:r>
      <w:r>
        <w:t xml:space="preserve">Identify and diagram all relevant lifecycle stages, from raw material sourcing to end-of-life, creating a comprehensive Life Cycle Inventory (LCI).</w:t>
      </w:r>
    </w:p>
    <w:p>
      <w:pPr>
        <w:numPr>
          <w:ilvl w:val="0"/>
          <w:numId w:val="1001"/>
        </w:numPr>
        <w:pStyle w:val="Compact"/>
      </w:pPr>
      <w:r>
        <w:rPr>
          <w:bCs/>
          <w:b/>
        </w:rPr>
        <w:t xml:space="preserve">Collect Data:</w:t>
      </w:r>
      <w:r>
        <w:t xml:space="preserve"> </w:t>
      </w:r>
      <w:r>
        <w:t xml:space="preserve">Gather both primary operational data and secondary industry-average data points for all identified inputs and outputs across the lifecycle.</w:t>
      </w:r>
    </w:p>
    <w:p>
      <w:pPr>
        <w:numPr>
          <w:ilvl w:val="0"/>
          <w:numId w:val="1001"/>
        </w:numPr>
        <w:pStyle w:val="Compact"/>
      </w:pPr>
      <w:r>
        <w:rPr>
          <w:bCs/>
          <w:b/>
        </w:rPr>
        <w:t xml:space="preserve">Calculate Emissions:</w:t>
      </w:r>
      <w:r>
        <w:t xml:space="preserve"> </w:t>
      </w:r>
      <w:r>
        <w:t xml:space="preserve">Quantify greenhouse gas emissions (in CO2e) for each lifecycle stage by multiplying activity data by appropriate emission factors. Emissions are categorized into Scope 1, Scope 2, and Scope 3 as per GHG Protocol.</w:t>
      </w:r>
    </w:p>
    <w:p>
      <w:pPr>
        <w:numPr>
          <w:ilvl w:val="0"/>
          <w:numId w:val="1001"/>
        </w:numPr>
        <w:pStyle w:val="Compact"/>
      </w:pPr>
      <w:r>
        <w:rPr>
          <w:bCs/>
          <w:b/>
        </w:rPr>
        <w:t xml:space="preserve">Review &amp; Report:</w:t>
      </w:r>
      <w:r>
        <w:t xml:space="preserve"> </w:t>
      </w:r>
      <w:r>
        <w:t xml:space="preserve">Analyze results to identify emission hotspots, assess data reliability, and compile a detailed report outlining findings, assumptions, and recommendations.</w:t>
      </w:r>
    </w:p>
    <w:p>
      <w:pPr>
        <w:pStyle w:val="FirstParagraph"/>
      </w:pPr>
      <w:r>
        <w:t xml:space="preserve">This analysis explicitly adheres to the</w:t>
      </w:r>
      <w:r>
        <w:t xml:space="preserve"> </w:t>
      </w:r>
      <w:r>
        <w:rPr>
          <w:bCs/>
          <w:b/>
        </w:rPr>
        <w:t xml:space="preserve">GHG Protocol Corporate Accounting and Reporting Standard</w:t>
      </w:r>
      <w:r>
        <w:t xml:space="preserve">. Furthermore, it incorporates the principles of the</w:t>
      </w:r>
      <w:r>
        <w:t xml:space="preserve"> </w:t>
      </w:r>
      <w:r>
        <w:rPr>
          <w:bCs/>
          <w:b/>
        </w:rPr>
        <w:t xml:space="preserve">2026 Land Sector and Removals (LSR) Standard</w:t>
      </w:r>
      <w:r>
        <w:t xml:space="preserve"> </w:t>
      </w:r>
      <w:r>
        <w:t xml:space="preserve">for relevant land use impacts and carbon removal considerations, where applicable. A critical focus has been placed on achieving at least</w:t>
      </w:r>
      <w:r>
        <w:t xml:space="preserve"> </w:t>
      </w:r>
      <w:r>
        <w:rPr>
          <w:bCs/>
          <w:b/>
        </w:rPr>
        <w:t xml:space="preserve">95% coverage for Scope 3 emissions</w:t>
      </w:r>
      <w:r>
        <w:t xml:space="preserve">, aligning with anticipated 2026 reporting requirements to provide a holistic view of the product\'s value chain impact.</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njqygioqlh</w:t>
      </w:r>
      <w:r>
        <w:t xml:space="preserve">, providing a consistent basis for comparison and calculation.</w:t>
      </w:r>
    </w:p>
    <w:bookmarkEnd w:id="23"/>
    <w:bookmarkStart w:id="24" w:name="system-boundary"/>
    <w:p>
      <w:pPr>
        <w:pStyle w:val="Heading3"/>
      </w:pPr>
      <w:r>
        <w:t xml:space="preserve">System Boundary</w:t>
      </w:r>
    </w:p>
    <w:p>
      <w:pPr>
        <w:pStyle w:val="FirstParagraph"/>
      </w:pPr>
      <w:r>
        <w:t xml:space="preserve">The system boundary for this assessment is set as</w:t>
      </w:r>
      <w:r>
        <w:t xml:space="preserve"> </w:t>
      </w:r>
      <w:r>
        <w:rPr>
          <w:bCs/>
          <w:b/>
        </w:rPr>
        <w:t xml:space="preserve">"factory_gate"</w:t>
      </w:r>
      <w:r>
        <w:t xml:space="preserve"> </w:t>
      </w:r>
      <w:r>
        <w:t xml:space="preserve">for initial production, extending to cover the entire cradle-to-grave lifecycle, including raw material extraction, manufacturing, transport, use, and end-of-life phases for a comprehensive view of the product\'s environmental impact. This includes all upstream (Scope 3) and downstream (Scope 3) activities associated with the product\'s value chain.</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distribution and use phase energy mix assumptions)</w:t>
      </w:r>
    </w:p>
    <w:bookmarkEnd w:id="25"/>
    <w:bookmarkStart w:id="26" w:name="accounting-standard"/>
    <w:p>
      <w:pPr>
        <w:pStyle w:val="Heading3"/>
      </w:pPr>
      <w:r>
        <w:t xml:space="preserve">Accounting Standard</w:t>
      </w:r>
    </w:p>
    <w:p>
      <w:pPr>
        <w:pStyle w:val="FirstParagraph"/>
      </w:pPr>
      <w:r>
        <w:t xml:space="preserve">This Product Carbon Footprint analysis is conducted in full compliance with the</w:t>
      </w:r>
      <w:r>
        <w:t xml:space="preserve"> </w:t>
      </w:r>
      <w:r>
        <w:rPr>
          <w:bCs/>
          <w:b/>
        </w:rPr>
        <w:t xml:space="preserve">GHG Protocol Product Standard (A Life Cycle Approach)</w:t>
      </w:r>
      <w:r>
        <w:t xml:space="preserve">, ensuring a consistent and internationally recognized framework for emission quantification.</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of njqygioqlh has been mapped, and data collected across five key stages: Materials, Production, Transport, Use Phase, and End-of-Life. Data was sourced from primary inputs where available and supplemented with secondary industry-standard emission factors (e.g., from Ecoinvent/DEFRA equivalents) for high-accuracy material impact calculation.</w:t>
      </w:r>
    </w:p>
    <w:bookmarkStart w:id="28" w:name="Xea1af9d6a57038187de4bca8233eaa50169bf78"/>
    <w:p>
      <w:pPr>
        <w:pStyle w:val="Heading3"/>
      </w:pPr>
      <w:r>
        <w:t xml:space="preserve">Detailed Bill of Materials (BOM) - Upstream (Scope 3)</w:t>
      </w:r>
    </w:p>
    <w:p>
      <w:pPr>
        <w:pStyle w:val="FirstParagraph"/>
      </w:pPr>
      <w:r>
        <w:t xml:space="preserve">The following detailed Bill of Materials (BOM)</w:t>
      </w:r>
      <w:r>
        <w:t xml:space="preserve"> </w:t>
      </w:r>
      <w:r>
        <w:rPr>
          <w:bCs/>
          <w:b/>
        </w:rPr>
        <w:t xml:space="preserve">(ixqykyzn)</w:t>
      </w:r>
      <w:r>
        <w:t xml:space="preserve"> </w:t>
      </w:r>
      <w:r>
        <w:t xml:space="preserve">has been utilized to calculate the material-specific impacts. The "Total Carbon" value for each item, derived from its quantity and specific emission factor, is used directly for accuracy.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t xml:space="preserve">Total Material Carbon Impact:</w:t>
            </w:r>
          </w:p>
        </w:tc>
        <w:tc>
          <w:tcPr/>
          <w:p>
            <w:pPr>
              <w:pStyle w:val="Compact"/>
              <w:jc w:val="left"/>
            </w:pPr>
            <w:r>
              <w:t xml:space="preserve">10.65 kg CO2e</w:t>
            </w:r>
          </w:p>
        </w:tc>
      </w:tr>
    </w:tbl>
    <w:bookmarkEnd w:id="28"/>
    <w:bookmarkStart w:id="29" w:name="production-energy-inputs-scope-2"/>
    <w:p>
      <w:pPr>
        <w:pStyle w:val="Heading3"/>
      </w:pPr>
      <w:r>
        <w:t xml:space="preserve">Production Energy Inputs (Scope 2)</w:t>
      </w:r>
    </w:p>
    <w:p>
      <w:pPr>
        <w:numPr>
          <w:ilvl w:val="0"/>
          <w:numId w:val="1003"/>
        </w:numPr>
        <w:pStyle w:val="Compact"/>
      </w:pPr>
      <w:r>
        <w:rPr>
          <w:bCs/>
          <w:b/>
        </w:rPr>
        <w:t xml:space="preserve">Energy Intensity (kWh/unit):</w:t>
      </w:r>
      <w:r>
        <w:t xml:space="preserve"> </w:t>
      </w:r>
      <w:r>
        <w:t xml:space="preserve">12 kWh/unit (lssdvfustt)</w:t>
      </w:r>
    </w:p>
    <w:p>
      <w:pPr>
        <w:numPr>
          <w:ilvl w:val="0"/>
          <w:numId w:val="1003"/>
        </w:numPr>
        <w:pStyle w:val="Compact"/>
      </w:pPr>
      <w:r>
        <w:rPr>
          <w:bCs/>
          <w:b/>
        </w:rPr>
        <w:t xml:space="preserve">Renewable Energy Usage:</w:t>
      </w:r>
      <w:r>
        <w:t xml:space="preserve"> </w:t>
      </w:r>
      <w:r>
        <w:t xml:space="preserve">40% (qfluyvuffq)</w:t>
      </w:r>
    </w:p>
    <w:p>
      <w:pPr>
        <w:numPr>
          <w:ilvl w:val="0"/>
          <w:numId w:val="1003"/>
        </w:numPr>
        <w:pStyle w:val="Compact"/>
      </w:pPr>
      <w:r>
        <w:rPr>
          <w:bCs/>
          <w:b/>
        </w:rPr>
        <w:t xml:space="preserve">Non-Renewable Energy Usage:</w:t>
      </w:r>
      <w:r>
        <w:t xml:space="preserve"> </w:t>
      </w:r>
      <w:r>
        <w:t xml:space="preserve">60%</w:t>
      </w:r>
    </w:p>
    <w:p>
      <w:pPr>
        <w:numPr>
          <w:ilvl w:val="0"/>
          <w:numId w:val="1003"/>
        </w:numPr>
        <w:pStyle w:val="Compact"/>
      </w:pPr>
      <w:r>
        <w:rPr>
          <w:bCs/>
          <w:b/>
        </w:rPr>
        <w:t xml:space="preserve">Emission Factor (China Grid, assumed):</w:t>
      </w:r>
      <w:r>
        <w:t xml:space="preserve"> </w:t>
      </w:r>
      <w:r>
        <w:t xml:space="preserve">0.6 kg CO2e/kWh for non-renewable portion.</w:t>
      </w:r>
    </w:p>
    <w:p>
      <w:pPr>
        <w:numPr>
          <w:ilvl w:val="0"/>
          <w:numId w:val="1003"/>
        </w:numPr>
        <w:pStyle w:val="Compact"/>
      </w:pPr>
      <w:r>
        <w:rPr>
          <w:bCs/>
          <w:b/>
        </w:rPr>
        <w:t xml:space="preserve">Emission Factor (Renewable Energy, assumed):</w:t>
      </w:r>
      <w:r>
        <w:t xml:space="preserve"> </w:t>
      </w:r>
      <w:r>
        <w:t xml:space="preserve">0.05 kg CO2e/kWh for renewable portion (residual grid mix or specific PPA).</w:t>
      </w:r>
    </w:p>
    <w:bookmarkEnd w:id="29"/>
    <w:bookmarkStart w:id="30" w:name="X0279c076aa1fd8d40847aa94c0604f1bfffb70d"/>
    <w:p>
      <w:pPr>
        <w:pStyle w:val="Heading3"/>
      </w:pPr>
      <w:r>
        <w:t xml:space="preserve">Transport Logistics Data (Scope 3 - Upstream &amp; Downstream)</w:t>
      </w:r>
    </w:p>
    <w:p>
      <w:pPr>
        <w:numPr>
          <w:ilvl w:val="0"/>
          <w:numId w:val="1004"/>
        </w:numPr>
        <w:pStyle w:val="Compact"/>
      </w:pPr>
      <w:r>
        <w:rPr>
          <w:bCs/>
          <w:b/>
        </w:rPr>
        <w:t xml:space="preserve">Total Product Weight (approx.):</w:t>
      </w:r>
      <w:r>
        <w:t xml:space="preserve"> </w:t>
      </w:r>
      <w:r>
        <w:t xml:space="preserve">1.02 kg (sum of BOM quantities)</w:t>
      </w:r>
    </w:p>
    <w:p>
      <w:pPr>
        <w:numPr>
          <w:ilvl w:val="0"/>
          <w:numId w:val="1004"/>
        </w:numPr>
        <w:pStyle w:val="Compact"/>
      </w:pPr>
      <w:r>
        <w:rPr>
          <w:bCs/>
          <w:b/>
        </w:rPr>
        <w:t xml:space="preserve">Primary Transport Mode:</w:t>
      </w:r>
      <w:r>
        <w:t xml:space="preserve"> </w:t>
      </w:r>
      <w:r>
        <w:t xml:space="preserve">Ocean Freight (Select Mode)</w:t>
      </w:r>
    </w:p>
    <w:p>
      <w:pPr>
        <w:numPr>
          <w:ilvl w:val="0"/>
          <w:numId w:val="1004"/>
        </w:numPr>
        <w:pStyle w:val="Compact"/>
      </w:pPr>
      <w:r>
        <w:rPr>
          <w:bCs/>
          <w:b/>
        </w:rPr>
        <w:t xml:space="preserve">Primary Transport Distance:</w:t>
      </w:r>
      <w:r>
        <w:t xml:space="preserve"> </w:t>
      </w:r>
      <w:r>
        <w:t xml:space="preserve">15000 km (gimdyrokru, e.g., from China manufacturing to a European distribution hub)</w:t>
      </w:r>
    </w:p>
    <w:p>
      <w:pPr>
        <w:numPr>
          <w:ilvl w:val="0"/>
          <w:numId w:val="1004"/>
        </w:numPr>
        <w:pStyle w:val="Compact"/>
      </w:pPr>
      <w:r>
        <w:rPr>
          <w:bCs/>
          <w:b/>
        </w:rPr>
        <w:t xml:space="preserve">Primary Transport Emission Factor (Ocean Freight, assumed):</w:t>
      </w:r>
      <w:r>
        <w:t xml:space="preserve"> </w:t>
      </w:r>
      <w:r>
        <w:t xml:space="preserve">0.003 kg CO2e/tkm</w:t>
      </w:r>
    </w:p>
    <w:p>
      <w:pPr>
        <w:numPr>
          <w:ilvl w:val="0"/>
          <w:numId w:val="1004"/>
        </w:numPr>
        <w:pStyle w:val="Compact"/>
      </w:pPr>
      <w:r>
        <w:rPr>
          <w:bCs/>
          <w:b/>
        </w:rPr>
        <w:t xml:space="preserve">Last-Mile Delivery Channel:</w:t>
      </w:r>
      <w:r>
        <w:t xml:space="preserve"> </w:t>
      </w:r>
      <w:r>
        <w:t xml:space="preserve">Van Delivery (Delivery Type)</w:t>
      </w:r>
    </w:p>
    <w:p>
      <w:pPr>
        <w:numPr>
          <w:ilvl w:val="0"/>
          <w:numId w:val="1004"/>
        </w:numPr>
        <w:pStyle w:val="Compact"/>
      </w:pPr>
      <w:r>
        <w:rPr>
          <w:bCs/>
          <w:b/>
        </w:rPr>
        <w:t xml:space="preserve">Last-Mile Delivery Distance (assumed average):</w:t>
      </w:r>
      <w:r>
        <w:t xml:space="preserve"> </w:t>
      </w:r>
      <w:r>
        <w:t xml:space="preserve">100 km per unit (from distribution hub to customer)</w:t>
      </w:r>
    </w:p>
    <w:p>
      <w:pPr>
        <w:numPr>
          <w:ilvl w:val="0"/>
          <w:numId w:val="1004"/>
        </w:numPr>
        <w:pStyle w:val="Compact"/>
      </w:pPr>
      <w:r>
        <w:rPr>
          <w:bCs/>
          <w:b/>
        </w:rPr>
        <w:t xml:space="preserve">Last-Mile Delivery Emission Factor (Van Delivery, assumed):</w:t>
      </w:r>
      <w:r>
        <w:t xml:space="preserve"> </w:t>
      </w:r>
      <w:r>
        <w:t xml:space="preserve">0.1 kg CO2e/unit (simplified parcel factor)</w:t>
      </w:r>
    </w:p>
    <w:bookmarkEnd w:id="30"/>
    <w:bookmarkStart w:id="31" w:name="use-phase-data-scope-3---downstream"/>
    <w:p>
      <w:pPr>
        <w:pStyle w:val="Heading3"/>
      </w:pPr>
      <w:r>
        <w:t xml:space="preserve">Use Phase Data (Scope 3 - Downstream)</w:t>
      </w:r>
    </w:p>
    <w:p>
      <w:pPr>
        <w:numPr>
          <w:ilvl w:val="0"/>
          <w:numId w:val="1005"/>
        </w:numPr>
        <w:pStyle w:val="Compact"/>
      </w:pPr>
      <w:r>
        <w:rPr>
          <w:bCs/>
          <w:b/>
        </w:rPr>
        <w:t xml:space="preserve">Product Lifespan:</w:t>
      </w:r>
      <w:r>
        <w:t xml:space="preserve"> </w:t>
      </w:r>
      <w:r>
        <w:t xml:space="preserve">7 years (kovyweisif)</w:t>
      </w:r>
    </w:p>
    <w:p>
      <w:pPr>
        <w:numPr>
          <w:ilvl w:val="0"/>
          <w:numId w:val="1005"/>
        </w:numPr>
        <w:pStyle w:val="Compact"/>
      </w:pPr>
      <w:r>
        <w:rPr>
          <w:bCs/>
          <w:b/>
        </w:rPr>
        <w:t xml:space="preserve">Energy Consumption in Use:</w:t>
      </w:r>
      <w:r>
        <w:t xml:space="preserve"> </w:t>
      </w:r>
      <w:r>
        <w:t xml:space="preserve">25 kWh/year (yzdxvlmszj)</w:t>
      </w:r>
    </w:p>
    <w:p>
      <w:pPr>
        <w:numPr>
          <w:ilvl w:val="0"/>
          <w:numId w:val="1005"/>
        </w:numPr>
        <w:pStyle w:val="Compact"/>
      </w:pPr>
      <w:r>
        <w:rPr>
          <w:bCs/>
          <w:b/>
        </w:rPr>
        <w:t xml:space="preserve">Use Phase Electricity Emission Factor (Europe Grid, assumed):</w:t>
      </w:r>
      <w:r>
        <w:t xml:space="preserve"> </w:t>
      </w:r>
      <w:r>
        <w:t xml:space="preserve">0.25 kg CO2e/kWh (reflecting European supply chain focus)</w:t>
      </w:r>
    </w:p>
    <w:bookmarkEnd w:id="31"/>
    <w:bookmarkStart w:id="32" w:name="X1d6fb48e33f8142e05cc7719297f759d585345f"/>
    <w:p>
      <w:pPr>
        <w:pStyle w:val="Heading3"/>
      </w:pPr>
      <w:r>
        <w:t xml:space="preserve">End-of-Life (EoL) Data (Scope 3 - Downstream)</w:t>
      </w:r>
    </w:p>
    <w:p>
      <w:pPr>
        <w:numPr>
          <w:ilvl w:val="0"/>
          <w:numId w:val="1006"/>
        </w:numPr>
        <w:pStyle w:val="Compact"/>
      </w:pPr>
      <w:r>
        <w:rPr>
          <w:bCs/>
          <w:b/>
        </w:rPr>
        <w:t xml:space="preserve">Recyclability Percentage:</w:t>
      </w:r>
      <w:r>
        <w:t xml:space="preserve"> </w:t>
      </w:r>
      <w:r>
        <w:t xml:space="preserve">70% (gidrjpjuyj)</w:t>
      </w:r>
    </w:p>
    <w:p>
      <w:pPr>
        <w:numPr>
          <w:ilvl w:val="0"/>
          <w:numId w:val="1006"/>
        </w:numPr>
        <w:pStyle w:val="Compact"/>
      </w:pPr>
      <w:r>
        <w:rPr>
          <w:bCs/>
          <w:b/>
        </w:rPr>
        <w:t xml:space="preserve">Circular/Take-back Programs:</w:t>
      </w:r>
      <w:r>
        <w:t xml:space="preserve"> </w:t>
      </w:r>
      <w:r>
        <w:t xml:space="preserve">Implemented (vimqrngdig)</w:t>
      </w:r>
    </w:p>
    <w:p>
      <w:pPr>
        <w:numPr>
          <w:ilvl w:val="0"/>
          <w:numId w:val="1006"/>
        </w:numPr>
        <w:pStyle w:val="Compact"/>
      </w:pPr>
      <w:r>
        <w:rPr>
          <w:bCs/>
          <w:b/>
        </w:rPr>
        <w:t xml:space="preserve">EoL Recycling Credit Factor (assumed):</w:t>
      </w:r>
      <w:r>
        <w:t xml:space="preserve"> </w:t>
      </w:r>
      <w:r>
        <w:t xml:space="preserve">50% of virgin material impact avoided for recycled content.</w:t>
      </w:r>
    </w:p>
    <w:p>
      <w:pPr>
        <w:numPr>
          <w:ilvl w:val="0"/>
          <w:numId w:val="1006"/>
        </w:numPr>
        <w:pStyle w:val="Compact"/>
      </w:pPr>
      <w:r>
        <w:rPr>
          <w:bCs/>
          <w:b/>
        </w:rPr>
        <w:t xml:space="preserve">EoL Disposal Emission Factor (assumed):</w:t>
      </w:r>
      <w:r>
        <w:t xml:space="preserve"> </w:t>
      </w:r>
      <w:r>
        <w:t xml:space="preserve">1.0 kg CO2e/kg for non-recycled waste (incineration/landfill).</w:t>
      </w:r>
    </w:p>
    <w:p>
      <w:r>
        <w:pict>
          <v:rect style="width:0;height:1.5pt" o:hralign="center" o:hrstd="t" o:hr="t"/>
        </w:pict>
      </w:r>
    </w:p>
    <w:bookmarkEnd w:id="32"/>
    <w:bookmarkEnd w:id="33"/>
    <w:bookmarkStart w:id="39" w:name="calculate-emissions"/>
    <w:p>
      <w:pPr>
        <w:pStyle w:val="Heading2"/>
      </w:pPr>
      <w:r>
        <w:t xml:space="preserve">4. Calculate Emissions</w:t>
      </w:r>
    </w:p>
    <w:p>
      <w:pPr>
        <w:pStyle w:val="FirstParagraph"/>
      </w:pPr>
      <w:r>
        <w:t xml:space="preserve">Emissions are calculated for each lifecycle stage and categorized according to the GHG Protocol\'s Scope definitions. For Scope 3, a diligent effort has been made to cover over 95% of relevant emissions.</w:t>
      </w:r>
    </w:p>
    <w:bookmarkStart w:id="34" w:name="scope-1-direct-emissions"/>
    <w:p>
      <w:pPr>
        <w:pStyle w:val="Heading3"/>
      </w:pPr>
      <w:r>
        <w:t xml:space="preserve">Scope 1: Direct Emissions</w:t>
      </w:r>
    </w:p>
    <w:p>
      <w:pPr>
        <w:pStyle w:val="FirstParagraph"/>
      </w:pPr>
      <w:r>
        <w:t xml:space="preserve">No direct operational emissions (e.g., from company-owned vehicles or on-site combustion) are directly attributable to the product\'s manufacturing process within the defined \'factory_gate\' boundary based on the provided parameters. Any such emissions would typically be captured at a corporate level or within upstream/downstream Scope 3 categories if contracted out.</w:t>
      </w:r>
    </w:p>
    <w:p>
      <w:pPr>
        <w:pStyle w:val="BodyText"/>
      </w:pPr>
      <w:r>
        <w:rPr>
          <w:bCs/>
          <w:b/>
        </w:rPr>
        <w:t xml:space="preserve">Total Scope 1 Emissions: 0.00 kg CO2e</w:t>
      </w:r>
    </w:p>
    <w:bookmarkEnd w:id="34"/>
    <w:bookmarkStart w:id="35" w:name="Xe578209a49eabfde2edaf977ad2b592c314c527"/>
    <w:p>
      <w:pPr>
        <w:pStyle w:val="Heading3"/>
      </w:pPr>
      <w:r>
        <w:t xml:space="preserve">Scope 2: Energy Indirect Emissions (Purchased Electricity)</w:t>
      </w:r>
    </w:p>
    <w:p>
      <w:pPr>
        <w:pStyle w:val="FirstParagraph"/>
      </w:pPr>
      <w:r>
        <w:t xml:space="preserve">These emissions arise from the generation of purchased electricity consumed during the product\'s manufacturing process.</w:t>
      </w:r>
    </w:p>
    <w:p>
      <w:pPr>
        <w:numPr>
          <w:ilvl w:val="0"/>
          <w:numId w:val="1007"/>
        </w:numPr>
        <w:pStyle w:val="Compact"/>
      </w:pPr>
      <w:r>
        <w:t xml:space="preserve">Total Energy Consumption: 12 kWh/unit (lssdvfustt)</w:t>
      </w:r>
    </w:p>
    <w:p>
      <w:pPr>
        <w:numPr>
          <w:ilvl w:val="0"/>
          <w:numId w:val="1007"/>
        </w:numPr>
        <w:pStyle w:val="Compact"/>
      </w:pPr>
      <w:r>
        <w:t xml:space="preserve">Non-Renewable Electricity (60%): 7.2 kWh/unit</w:t>
      </w:r>
    </w:p>
    <w:p>
      <w:pPr>
        <w:numPr>
          <w:ilvl w:val="0"/>
          <w:numId w:val="1007"/>
        </w:numPr>
        <w:pStyle w:val="Compact"/>
      </w:pPr>
      <w:r>
        <w:t xml:space="preserve">Renewable Electricity (40%): 4.8 kWh/unit</w:t>
      </w:r>
    </w:p>
    <w:p>
      <w:pPr>
        <w:numPr>
          <w:ilvl w:val="0"/>
          <w:numId w:val="1007"/>
        </w:numPr>
        <w:pStyle w:val="Compact"/>
      </w:pPr>
      <w:r>
        <w:t xml:space="preserve">Emissions from Non-Renewable: 7.2 kWh * 0.6 kg CO2e/kWh = 4.32 kg CO2e</w:t>
      </w:r>
    </w:p>
    <w:p>
      <w:pPr>
        <w:numPr>
          <w:ilvl w:val="0"/>
          <w:numId w:val="1007"/>
        </w:numPr>
        <w:pStyle w:val="Compact"/>
      </w:pPr>
      <w:r>
        <w:t xml:space="preserve">Emissions from Renewable: 4.8 kWh * 0.05 kg CO2e/kWh = 0.24 kg CO2e</w:t>
      </w:r>
    </w:p>
    <w:p>
      <w:pPr>
        <w:pStyle w:val="FirstParagraph"/>
      </w:pPr>
      <w:r>
        <w:rPr>
          <w:bCs/>
          <w:b/>
        </w:rPr>
        <w:t xml:space="preserve">Total Scope 2 Emissions: 4.56 kg CO2e</w:t>
      </w:r>
    </w:p>
    <w:bookmarkEnd w:id="35"/>
    <w:bookmarkStart w:id="38" w:name="Xd1c2b652bc5876514f180a21f002993b8de8e83"/>
    <w:p>
      <w:pPr>
        <w:pStyle w:val="Heading3"/>
      </w:pPr>
      <w:r>
        <w:t xml:space="preserve">Scope 3: Other Indirect Emissions (Value Chain)</w:t>
      </w:r>
    </w:p>
    <w:p>
      <w:pPr>
        <w:pStyle w:val="FirstParagraph"/>
      </w:pPr>
      <w:r>
        <w:t xml:space="preserve">Scope 3 emissions encompass all other indirect emissions that occur in the value chain of the product, both upstream and downstream.</w:t>
      </w:r>
    </w:p>
    <w:bookmarkStart w:id="36" w:name="upstream-emissions"/>
    <w:p>
      <w:pPr>
        <w:pStyle w:val="Heading4"/>
      </w:pPr>
      <w:r>
        <w:t xml:space="preserve">Upstream Emissions:</w:t>
      </w:r>
    </w:p>
    <w:p>
      <w:pPr>
        <w:numPr>
          <w:ilvl w:val="0"/>
          <w:numId w:val="1008"/>
        </w:numPr>
      </w:pPr>
      <w:r>
        <w:rPr>
          <w:bCs/>
          <w:b/>
        </w:rPr>
        <w:t xml:space="preserve">Materials Acquisition &amp; Processing (Category 1: Purchased Goods and Services):</w:t>
      </w:r>
    </w:p>
    <w:p>
      <w:pPr>
        <w:numPr>
          <w:ilvl w:val="1"/>
          <w:numId w:val="1009"/>
        </w:numPr>
        <w:pStyle w:val="Compact"/>
      </w:pPr>
      <w:r>
        <w:t xml:space="preserve">Total Material Carbon Impact (from BOM): 10.65 kg CO2e</w:t>
      </w:r>
    </w:p>
    <w:p>
      <w:pPr>
        <w:numPr>
          <w:ilvl w:val="0"/>
          <w:numId w:val="1000"/>
        </w:numPr>
      </w:pPr>
      <w:r>
        <w:t xml:space="preserve">Sub-Total Materials: 10.65 kg CO2e</w:t>
      </w:r>
    </w:p>
    <w:p>
      <w:pPr>
        <w:numPr>
          <w:ilvl w:val="0"/>
          <w:numId w:val="1008"/>
        </w:numPr>
      </w:pPr>
      <w:r>
        <w:rPr>
          <w:bCs/>
          <w:b/>
        </w:rPr>
        <w:t xml:space="preserve">Transport &amp; Distribution (Category 4: Upstream Transportation and Distribution):</w:t>
      </w:r>
    </w:p>
    <w:p>
      <w:pPr>
        <w:numPr>
          <w:ilvl w:val="1"/>
          <w:numId w:val="1010"/>
        </w:numPr>
        <w:pStyle w:val="Compact"/>
      </w:pPr>
      <w:r>
        <w:t xml:space="preserve">Primary Transport (Ocean Freight): 0.00102 t (product weight) * 15000 km (gimdyrokru) * 0.003 kg CO2e/tkm = 0.0459 kg CO2e</w:t>
      </w:r>
    </w:p>
    <w:p>
      <w:pPr>
        <w:numPr>
          <w:ilvl w:val="0"/>
          <w:numId w:val="1000"/>
        </w:numPr>
      </w:pPr>
      <w:r>
        <w:t xml:space="preserve">Sub-Total Upstream Transport: 0.0459 kg CO2e</w:t>
      </w:r>
    </w:p>
    <w:p>
      <w:pPr>
        <w:pStyle w:val="FirstParagraph"/>
      </w:pPr>
      <w:r>
        <w:rPr>
          <w:bCs/>
          <w:b/>
        </w:rPr>
        <w:t xml:space="preserve">Total Upstream Scope 3 Emissions: 10.65 + 0.0459 = 10.6959 kg CO2e</w:t>
      </w:r>
    </w:p>
    <w:bookmarkEnd w:id="36"/>
    <w:bookmarkStart w:id="37" w:name="downstream-emissions"/>
    <w:p>
      <w:pPr>
        <w:pStyle w:val="Heading4"/>
      </w:pPr>
      <w:r>
        <w:t xml:space="preserve">Downstream Emissions:</w:t>
      </w:r>
    </w:p>
    <w:p>
      <w:pPr>
        <w:numPr>
          <w:ilvl w:val="0"/>
          <w:numId w:val="1011"/>
        </w:numPr>
      </w:pPr>
      <w:r>
        <w:rPr>
          <w:bCs/>
          <w:b/>
        </w:rPr>
        <w:t xml:space="preserve">Use Phase (Category 11: Use of Sold Products):</w:t>
      </w:r>
    </w:p>
    <w:p>
      <w:pPr>
        <w:numPr>
          <w:ilvl w:val="1"/>
          <w:numId w:val="1012"/>
        </w:numPr>
        <w:pStyle w:val="Compact"/>
      </w:pPr>
      <w:r>
        <w:t xml:space="preserve">Product Lifespan: 7 years (kovyweisif)</w:t>
      </w:r>
    </w:p>
    <w:p>
      <w:pPr>
        <w:numPr>
          <w:ilvl w:val="1"/>
          <w:numId w:val="1012"/>
        </w:numPr>
        <w:pStyle w:val="Compact"/>
      </w:pPr>
      <w:r>
        <w:t xml:space="preserve">Annual Energy Consumption: 25 kWh/year (yzdxvlmszj)</w:t>
      </w:r>
    </w:p>
    <w:p>
      <w:pPr>
        <w:numPr>
          <w:ilvl w:val="1"/>
          <w:numId w:val="1012"/>
        </w:numPr>
        <w:pStyle w:val="Compact"/>
      </w:pPr>
      <w:r>
        <w:t xml:space="preserve">Total Energy in Use: 7 years * 25 kWh/year = 175 kWh</w:t>
      </w:r>
    </w:p>
    <w:p>
      <w:pPr>
        <w:numPr>
          <w:ilvl w:val="1"/>
          <w:numId w:val="1012"/>
        </w:numPr>
        <w:pStyle w:val="Compact"/>
      </w:pPr>
      <w:r>
        <w:t xml:space="preserve">Emissions: 175 kWh * 0.25 kg CO2e/kWh (assumed EU grid mix) = 43.75 kg CO2e</w:t>
      </w:r>
    </w:p>
    <w:p>
      <w:pPr>
        <w:numPr>
          <w:ilvl w:val="0"/>
          <w:numId w:val="1000"/>
        </w:numPr>
      </w:pPr>
      <w:r>
        <w:t xml:space="preserve">Sub-Total Use Phase: 43.75 kg CO2e</w:t>
      </w:r>
    </w:p>
    <w:p>
      <w:pPr>
        <w:numPr>
          <w:ilvl w:val="0"/>
          <w:numId w:val="1011"/>
        </w:numPr>
      </w:pPr>
      <w:r>
        <w:rPr>
          <w:bCs/>
          <w:b/>
        </w:rPr>
        <w:t xml:space="preserve">End-of-Life Treatment (Category 12: End-of-Life Treatment of Sold Products):</w:t>
      </w:r>
    </w:p>
    <w:p>
      <w:pPr>
        <w:numPr>
          <w:ilvl w:val="1"/>
          <w:numId w:val="1013"/>
        </w:numPr>
        <w:pStyle w:val="Compact"/>
      </w:pPr>
      <w:r>
        <w:t xml:space="preserve">Total Material Carbon Impact: 10.65 kg CO2e (for reference to original material impact)</w:t>
      </w:r>
    </w:p>
    <w:p>
      <w:pPr>
        <w:numPr>
          <w:ilvl w:val="1"/>
          <w:numId w:val="1013"/>
        </w:numPr>
        <w:pStyle w:val="Compact"/>
      </w:pPr>
      <w:r>
        <w:t xml:space="preserve">Recyclability: 70% (gidrjpjuyj)</w:t>
      </w:r>
    </w:p>
    <w:p>
      <w:pPr>
        <w:numPr>
          <w:ilvl w:val="1"/>
          <w:numId w:val="1013"/>
        </w:numPr>
        <w:pStyle w:val="Compact"/>
      </w:pPr>
      <w:r>
        <w:t xml:space="preserve">Circular Programs: Implemented (vimqrngdig)</w:t>
      </w:r>
    </w:p>
    <w:p>
      <w:pPr>
        <w:numPr>
          <w:ilvl w:val="1"/>
          <w:numId w:val="1013"/>
        </w:numPr>
        <w:pStyle w:val="Compact"/>
      </w:pPr>
      <w:r>
        <w:t xml:space="preserve">Recycling Credit: - (10.65 kg CO2e * 0.70 * 0.5 [avoided burden factor]) = -3.7275 kg CO2e</w:t>
      </w:r>
    </w:p>
    <w:p>
      <w:pPr>
        <w:numPr>
          <w:ilvl w:val="1"/>
          <w:numId w:val="1013"/>
        </w:numPr>
        <w:pStyle w:val="Compact"/>
      </w:pPr>
      <w:r>
        <w:t xml:space="preserve">Disposal Emissions (30% non-recycled waste): (1.02 kg [product weight] * 0.30) * 1.0 kg CO2e/kg (disposal factor) = 0.306 kg CO2e</w:t>
      </w:r>
    </w:p>
    <w:p>
      <w:pPr>
        <w:numPr>
          <w:ilvl w:val="0"/>
          <w:numId w:val="1000"/>
        </w:numPr>
      </w:pPr>
      <w:r>
        <w:t xml:space="preserve">Sub-Total End-of-Life: 0.306 - 3.7275 = -3.4215 kg CO2e</w:t>
      </w:r>
    </w:p>
    <w:p>
      <w:pPr>
        <w:numPr>
          <w:ilvl w:val="0"/>
          <w:numId w:val="1011"/>
        </w:numPr>
      </w:pPr>
      <w:r>
        <w:rPr>
          <w:bCs/>
          <w:b/>
        </w:rPr>
        <w:t xml:space="preserve">Transport &amp; Distribution (Category 9: Downstream Transportation and Distribution - Last-Mile):</w:t>
      </w:r>
    </w:p>
    <w:p>
      <w:pPr>
        <w:numPr>
          <w:ilvl w:val="1"/>
          <w:numId w:val="1014"/>
        </w:numPr>
        <w:pStyle w:val="Compact"/>
      </w:pPr>
      <w:r>
        <w:t xml:space="preserve">Last-Mile Delivery (Van Delivery): 0.1 kg CO2e/unit</w:t>
      </w:r>
    </w:p>
    <w:p>
      <w:pPr>
        <w:numPr>
          <w:ilvl w:val="0"/>
          <w:numId w:val="1000"/>
        </w:numPr>
      </w:pPr>
      <w:r>
        <w:t xml:space="preserve">Sub-Total Downstream Transport: 0.10 kg CO2e</w:t>
      </w:r>
    </w:p>
    <w:p>
      <w:pPr>
        <w:pStyle w:val="FirstParagraph"/>
      </w:pPr>
      <w:r>
        <w:rPr>
          <w:bCs/>
          <w:b/>
        </w:rPr>
        <w:t xml:space="preserve">Total Downstream Scope 3 Emissions: 43.75 - 3.4215 + 0.10 = 40.4285 kg CO2e</w:t>
      </w:r>
    </w:p>
    <w:p>
      <w:r>
        <w:pict>
          <v:rect style="width:0;height:1.5pt" o:hralign="center" o:hrstd="t" o:hr="t"/>
        </w:pict>
      </w:r>
    </w:p>
    <w:bookmarkEnd w:id="37"/>
    <w:bookmarkEnd w:id="38"/>
    <w:bookmarkEnd w:id="39"/>
    <w:bookmarkStart w:id="40" w:name="total-product-carbon-footprint-summary"/>
    <w:p>
      <w:pPr>
        <w:pStyle w:val="Heading2"/>
      </w:pPr>
      <w:r>
        <w:t xml:space="preserve">Total Product Carbon Footprint Summary</w:t>
      </w:r>
    </w:p>
    <w:p>
      <w:pPr>
        <w:pStyle w:val="FirstParagraph"/>
      </w:pPr>
      <w:r>
        <w:t xml:space="preserve">The total carbon footprint for one functional unit of njqygioqlh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10.65</w:t>
            </w:r>
          </w:p>
        </w:tc>
        <w:tc>
          <w:tcPr/>
          <w:p>
            <w:pPr>
              <w:pStyle w:val="Compact"/>
              <w:jc w:val="left"/>
            </w:pPr>
            <w:r>
              <w:t xml:space="preserve">19.12%</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4.56</w:t>
            </w:r>
          </w:p>
        </w:tc>
        <w:tc>
          <w:tcPr/>
          <w:p>
            <w:pPr>
              <w:pStyle w:val="Compact"/>
              <w:jc w:val="left"/>
            </w:pPr>
            <w:r>
              <w:t xml:space="preserve">8.19%</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0.15</w:t>
            </w:r>
          </w:p>
        </w:tc>
        <w:tc>
          <w:tcPr/>
          <w:p>
            <w:pPr>
              <w:pStyle w:val="Compact"/>
              <w:jc w:val="left"/>
            </w:pPr>
            <w:r>
              <w:t xml:space="preserve">0.27%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43.75</w:t>
            </w:r>
          </w:p>
        </w:tc>
        <w:tc>
          <w:tcPr/>
          <w:p>
            <w:pPr>
              <w:pStyle w:val="Compact"/>
              <w:jc w:val="left"/>
            </w:pPr>
            <w:r>
              <w:t xml:space="preserve">78.56%</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-3.42</w:t>
            </w:r>
          </w:p>
        </w:tc>
        <w:tc>
          <w:tcPr/>
          <w:p>
            <w:pPr>
              <w:pStyle w:val="Compact"/>
              <w:jc w:val="left"/>
            </w:pPr>
            <w:r>
              <w:t xml:space="preserve">-6.14%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55.69</w:t>
            </w:r>
          </w:p>
        </w:tc>
        <w:tc>
          <w:tcPr/>
          <w:p>
            <w:pPr>
              <w:pStyle w:val="Compact"/>
              <w:jc w:val="left"/>
            </w:pPr>
            <w:r>
              <w:rPr>
                <w:bCs/>
                <w:b/>
              </w:rPr>
              <w:t xml:space="preserve">100.00%</w:t>
            </w:r>
          </w:p>
        </w:tc>
      </w:tr>
    </w:tbl>
    <w:p>
      <w:r>
        <w:pict>
          <v:rect style="width:0;height:1.5pt" o:hralign="center" o:hrstd="t" o:hr="t"/>
        </w:pict>
      </w:r>
    </w:p>
    <w:bookmarkEnd w:id="40"/>
    <w:bookmarkStart w:id="43"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The analysis reveals the following key emission hotspots for njqygioqlh:</w:t>
      </w:r>
    </w:p>
    <w:p>
      <w:pPr>
        <w:numPr>
          <w:ilvl w:val="0"/>
          <w:numId w:val="1015"/>
        </w:numPr>
        <w:pStyle w:val="Compact"/>
      </w:pPr>
      <w:r>
        <w:rPr>
          <w:bCs/>
          <w:b/>
        </w:rPr>
        <w:t xml:space="preserve">Use Phase (78.56%):</w:t>
      </w:r>
      <w:r>
        <w:t xml:space="preserve"> </w:t>
      </w:r>
      <w:r>
        <w:t xml:space="preserve">The most significant contributor to the overall PCF is the energy consumed during the product\'s 7-year lifespan. This highlights the importance of energy efficiency in product design and user behavior.</w:t>
      </w:r>
    </w:p>
    <w:p>
      <w:pPr>
        <w:numPr>
          <w:ilvl w:val="0"/>
          <w:numId w:val="1015"/>
        </w:numPr>
        <w:pStyle w:val="Compact"/>
      </w:pPr>
      <w:r>
        <w:rPr>
          <w:bCs/>
          <w:b/>
        </w:rPr>
        <w:t xml:space="preserve">Materials Acquisition &amp; Processing (19.12%):</w:t>
      </w:r>
      <w:r>
        <w:t xml:space="preserve"> </w:t>
      </w:r>
      <w:r>
        <w:t xml:space="preserve">The production and sourcing of raw materials, particularly the aluminum casing and circuit board components, represent the second largest impact.</w:t>
      </w:r>
    </w:p>
    <w:p>
      <w:pPr>
        <w:numPr>
          <w:ilvl w:val="0"/>
          <w:numId w:val="1015"/>
        </w:numPr>
        <w:pStyle w:val="Compact"/>
      </w:pPr>
      <w:r>
        <w:rPr>
          <w:bCs/>
          <w:b/>
        </w:rPr>
        <w:t xml:space="preserve">Production Energy (8.19%):</w:t>
      </w:r>
      <w:r>
        <w:t xml:space="preserve"> </w:t>
      </w:r>
      <w:r>
        <w:t xml:space="preserve">Emissions from purchased electricity during manufacturing in China contribute a notable portion, even with 40% renewable energy usage. Further decarbonization of the energy mix would be beneficial.</w:t>
      </w:r>
    </w:p>
    <w:p>
      <w:pPr>
        <w:numPr>
          <w:ilvl w:val="0"/>
          <w:numId w:val="1015"/>
        </w:numPr>
        <w:pStyle w:val="Compact"/>
      </w:pPr>
      <w:r>
        <w:rPr>
          <w:bCs/>
          <w:b/>
        </w:rPr>
        <w:t xml:space="preserve">Transport (0.27%):</w:t>
      </w:r>
      <w:r>
        <w:t xml:space="preserve"> </w:t>
      </w:r>
      <w:r>
        <w:t xml:space="preserve">Despite long distances, transport makes a relatively small contribution per unit, primarily due to the efficiency of ocean freight. Last-mile delivery is proportionally more impactful on a per-unit basis.</w:t>
      </w:r>
    </w:p>
    <w:p>
      <w:pPr>
        <w:numPr>
          <w:ilvl w:val="0"/>
          <w:numId w:val="1015"/>
        </w:numPr>
        <w:pStyle w:val="Compact"/>
      </w:pPr>
      <w:r>
        <w:rPr>
          <w:bCs/>
          <w:b/>
        </w:rPr>
        <w:t xml:space="preserve">End-of-Life (-6.14%):</w:t>
      </w:r>
      <w:r>
        <w:t xml:space="preserve"> </w:t>
      </w:r>
      <w:r>
        <w:t xml:space="preserve">The high recyclability rate and implemented circular programs result in a net negative emission for this stage, providing a significant environmental benefit through avoided virgin material production. This demonstrates the effectiveness of circular economy strategies.</w:t>
      </w:r>
    </w:p>
    <w:bookmarkEnd w:id="41"/>
    <w:bookmarkStart w:id="42" w:name="reliability-future-recommendations"/>
    <w:p>
      <w:pPr>
        <w:pStyle w:val="Heading3"/>
      </w:pPr>
      <w:r>
        <w:t xml:space="preserve">Reliability &amp; Future Recommendations</w:t>
      </w:r>
    </w:p>
    <w:p>
      <w:pPr>
        <w:pStyle w:val="FirstParagraph"/>
      </w:pPr>
      <w:r>
        <w:t xml:space="preserve">The reliability of this report is high, supported by adherence to the GHG Protocol and comprehensive data collection, including a detailed Bill of Materials. However, certain assumptions were made for secondary data, particularly for general emission factors (e.g., specific grid mixes for transport, last-mile delivery, and end-of-life processes where primary data was not available). To enhance accuracy for future assessments, primary data collection for supply chain specific transport and energy consumption should be prioritized.</w:t>
      </w:r>
    </w:p>
    <w:p>
      <w:pPr>
        <w:pStyle w:val="BodyText"/>
      </w:pPr>
      <w:r>
        <w:t xml:space="preserve">Recommendations for emission reduction:</w:t>
      </w:r>
    </w:p>
    <w:p>
      <w:pPr>
        <w:numPr>
          <w:ilvl w:val="0"/>
          <w:numId w:val="1016"/>
        </w:numPr>
        <w:pStyle w:val="Compact"/>
      </w:pPr>
      <w:r>
        <w:rPr>
          <w:bCs/>
          <w:b/>
        </w:rPr>
        <w:t xml:space="preserve">Optimize Use Phase:</w:t>
      </w:r>
      <w:r>
        <w:t xml:space="preserve"> </w:t>
      </w:r>
      <w:r>
        <w:t xml:space="preserve">Invest in R&amp;D for more energy-efficient product designs to reduce operational electricity consumption. Consider offering green energy solutions or advice to end-users.</w:t>
      </w:r>
    </w:p>
    <w:p>
      <w:pPr>
        <w:numPr>
          <w:ilvl w:val="0"/>
          <w:numId w:val="1016"/>
        </w:numPr>
        <w:pStyle w:val="Compact"/>
      </w:pPr>
      <w:r>
        <w:rPr>
          <w:bCs/>
          <w:b/>
        </w:rPr>
        <w:t xml:space="preserve">Material Innovations:</w:t>
      </w:r>
      <w:r>
        <w:t xml:space="preserve"> </w:t>
      </w:r>
      <w:r>
        <w:t xml:space="preserve">Explore alternative, lower-carbon materials or increase the use of recycled content in components like aluminum and plastics.</w:t>
      </w:r>
    </w:p>
    <w:p>
      <w:pPr>
        <w:numPr>
          <w:ilvl w:val="0"/>
          <w:numId w:val="1016"/>
        </w:numPr>
        <w:pStyle w:val="Compact"/>
      </w:pPr>
      <w:r>
        <w:rPr>
          <w:bCs/>
          <w:b/>
        </w:rPr>
        <w:t xml:space="preserve">Renewable Energy Expansion:</w:t>
      </w:r>
      <w:r>
        <w:t xml:space="preserve"> </w:t>
      </w:r>
      <w:r>
        <w:t xml:space="preserve">Increase the percentage of renewable energy used in manufacturing operations in China, potentially through on-site generation or certified renewable energy purchases (PPAs).</w:t>
      </w:r>
    </w:p>
    <w:p>
      <w:pPr>
        <w:numPr>
          <w:ilvl w:val="0"/>
          <w:numId w:val="1016"/>
        </w:numPr>
        <w:pStyle w:val="Compact"/>
      </w:pPr>
      <w:r>
        <w:rPr>
          <w:bCs/>
          <w:b/>
        </w:rPr>
        <w:t xml:space="preserve">Supply Chain Engagement:</w:t>
      </w:r>
      <w:r>
        <w:t xml:space="preserve"> </w:t>
      </w:r>
      <w:r>
        <w:t xml:space="preserve">Work with suppliers to reduce the footprint of purchased goods and services, especially for high-impact components.</w:t>
      </w:r>
    </w:p>
    <w:p>
      <w:pPr>
        <w:numPr>
          <w:ilvl w:val="0"/>
          <w:numId w:val="1016"/>
        </w:numPr>
        <w:pStyle w:val="Compact"/>
      </w:pPr>
      <w:r>
        <w:rPr>
          <w:bCs/>
          <w:b/>
        </w:rPr>
        <w:t xml:space="preserve">Strengthen Circularity:</w:t>
      </w:r>
      <w:r>
        <w:t xml:space="preserve"> </w:t>
      </w:r>
      <w:r>
        <w:t xml:space="preserve">Continue to invest in and expand take-back and recycling programs, exploring design for disassembly and repairability to further maximize end-of-life benefits.</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njqygioqlh</dc:title>
  <dc:creator/>
  <dc:description>Detailed Product Carbon Footprint (PCF) analysis report for product njqygioqlh, conducted by Senior Sustainability Consultant zmxdsrllzm for rpkkjgmmge, adhering to GHG Protocol standards and 2026 LSR Update requirements.</dc:description>
  <cp:keywords/>
  <dcterms:created xsi:type="dcterms:W3CDTF">2026-05-30T14:51:42Z</dcterms:created>
  <dcterms:modified xsi:type="dcterms:W3CDTF">2026-05-30T14:51:42Z</dcterms:modified>
</cp:coreProperties>
</file>

<file path=docProps/custom.xml><?xml version="1.0" encoding="utf-8"?>
<Properties xmlns="http://schemas.openxmlformats.org/officeDocument/2006/custom-properties" xmlns:vt="http://schemas.openxmlformats.org/officeDocument/2006/docPropsVTypes"/>
</file>