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niqdpxpevh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iqdpxpevh-smart-home-device"/>
    <w:p>
      <w:pPr>
        <w:pStyle w:val="Heading2"/>
      </w:pPr>
      <w:r>
        <w:t xml:space="preserve">Product: niqdpxpevh (Smart Home Device)</w:t>
      </w:r>
    </w:p>
    <w:p>
      <w:pPr>
        <w:pStyle w:val="FirstParagraph"/>
      </w:pPr>
      <w:r>
        <w:rPr>
          <w:bCs/>
          <w:b/>
        </w:rPr>
        <w:t xml:space="preserve">Company Name:</w:t>
      </w:r>
      <w:r>
        <w:t xml:space="preserve"> </w:t>
      </w:r>
      <w:r>
        <w:t xml:space="preserve">oydjseutnj</w:t>
      </w:r>
    </w:p>
    <w:p>
      <w:pPr>
        <w:pStyle w:val="BodyText"/>
      </w:pPr>
      <w:r>
        <w:rPr>
          <w:bCs/>
          <w:b/>
        </w:rPr>
        <w:t xml:space="preserve">Senior Sustainability Consultant:</w:t>
      </w:r>
      <w:r>
        <w:t xml:space="preserve"> </w:t>
      </w:r>
      <w:r>
        <w:t xml:space="preserve">vteviolsfe</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21, 2026</w:t>
      </w:r>
    </w:p>
    <w:p>
      <w:pPr>
        <w:pStyle w:val="BodyText"/>
      </w:pPr>
      <w:r>
        <w:t xml:space="preserve">This report is generated based on available data and industry standards. While every effort has been made to ensure accuracy, the results are indicative and subject to the limitations of the data sources and methodologies employed.</w:t>
      </w:r>
    </w:p>
    <w:bookmarkEnd w:id="20"/>
    <w:bookmarkEnd w:id="21"/>
    <w:bookmarkStart w:id="49" w:name="executive-summary"/>
    <w:p>
      <w:pPr>
        <w:pStyle w:val="Heading1"/>
      </w:pPr>
      <w:r>
        <w:t xml:space="preserve">Executive Summary</w:t>
      </w:r>
    </w:p>
    <w:p>
      <w:r>
        <w:pict>
          <v:rect style="width:0;height:1.5pt" o:hralign="center" o:hrstd="t" o:hr="t"/>
        </w:pict>
      </w:r>
    </w:p>
    <w:p>
      <w:pPr>
        <w:pStyle w:val="FirstParagraph"/>
      </w:pPr>
      <w:r>
        <w:t xml:space="preserve">This report presents a high-detail Product Carbon Footprint (PCF) analysis for the product niqdpxpevh, a Smart Home Device, manufactured by oydjseutnj. Conducted by vteviolsfe, Senior Sustainability Consultant, this analysis strictly adheres to the GHG Protocol and incorporates the upcoming 2026 Land Sector and Removals (LSR) Standard where applicable, ensuring a robust and comprehensive assessment. The total cradle-to-grave carbon footprint for one functional unit (1.0 unit) of niqdpxpevh is calculated to be</w:t>
      </w:r>
      <w:r>
        <w:t xml:space="preserve"> </w:t>
      </w:r>
      <w:r>
        <w:rPr>
          <w:bCs/>
          <w:b/>
        </w:rPr>
        <w:t xml:space="preserve">15.66 kgCO2e</w:t>
      </w:r>
      <w:r>
        <w:t xml:space="preserve">.</w:t>
      </w:r>
    </w:p>
    <w:p>
      <w:pPr>
        <w:pStyle w:val="BodyText"/>
      </w:pPr>
      <w:r>
        <w:t xml:space="preserve">The analysis identified the Use Phase as the primary hotspot, contributing the largest share of emissions, followed by the raw materials acquisition and processing. Significant efforts in energy efficiency during the product\'s lifespan and the adoption of lower-carbon materials will be crucial for reducing the overall environmental impact of niqdpxpevh.</w:t>
      </w:r>
    </w:p>
    <w:bookmarkStart w:id="26" w:name="methodology-and-scope-definition"/>
    <w:p>
      <w:pPr>
        <w:pStyle w:val="Heading2"/>
      </w:pPr>
      <w:r>
        <w:t xml:space="preserve">1. Methodology and Scope Definition</w:t>
      </w:r>
    </w:p>
    <w:p>
      <w:r>
        <w:pict>
          <v:rect style="width:0;height:1.5pt" o:hralign="center" o:hrstd="t" o:hr="t"/>
        </w:pic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niqdpxpevh</w:t>
      </w:r>
      <w:r>
        <w:t xml:space="preserve"> </w:t>
      </w:r>
      <w:r>
        <w:t xml:space="preserve">(Smart Home Device), providing its intended functionality over its estimated lifespan.</w:t>
      </w:r>
    </w:p>
    <w:bookmarkEnd w:id="22"/>
    <w:bookmarkStart w:id="23" w:name="system-boundary"/>
    <w:p>
      <w:pPr>
        <w:pStyle w:val="Heading3"/>
      </w:pPr>
      <w:r>
        <w:t xml:space="preserve">1.2. System Boundary</w:t>
      </w:r>
    </w:p>
    <w:p>
      <w:pPr>
        <w:pStyle w:val="FirstParagraph"/>
      </w:pPr>
      <w:r>
        <w:t xml:space="preserve">The primary system boundary for the core PCF calculation is set to</w:t>
      </w:r>
      <w:r>
        <w:t xml:space="preserve"> </w:t>
      </w:r>
      <w:r>
        <w:rPr>
          <w:bCs/>
          <w:b/>
        </w:rPr>
        <w:t xml:space="preserve">\'factory_gate\'</w:t>
      </w:r>
      <w:r>
        <w:t xml:space="preserve">, encompassing raw material extraction, processing, and manufacturing up to the point the product leaves the factory. However, to provide a holistic lifecycle perspective and align with comprehensive reporting, this analysis also includes downstream impacts: transportation to market, the product\'s use phase, and its end-of-life treatment. This cradle-to-grave approach ensures all significant emissions are captured and categorized according to the GHG Protocol.</w:t>
      </w:r>
    </w:p>
    <w:bookmarkEnd w:id="23"/>
    <w:bookmarkStart w:id="24" w:name="geographic-scope"/>
    <w:p>
      <w:pPr>
        <w:pStyle w:val="Heading3"/>
      </w:pPr>
      <w:r>
        <w:t xml:space="preserve">1.3. Geographic Scope</w:t>
      </w:r>
    </w:p>
    <w:p>
      <w:pPr>
        <w:pStyle w:val="FirstParagraph"/>
      </w:pPr>
      <w:r>
        <w:t xml:space="preserve">The geographic scope covers the entire product lifecycle with a specific focus: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and/or distribution to Europe)</w:t>
      </w:r>
    </w:p>
    <w:p>
      <w:pPr>
        <w:numPr>
          <w:ilvl w:val="0"/>
          <w:numId w:val="1001"/>
        </w:numPr>
        <w:pStyle w:val="Compact"/>
      </w:pPr>
      <w:r>
        <w:rPr>
          <w:bCs/>
          <w:b/>
        </w:rPr>
        <w:t xml:space="preserve">Use Phase:</w:t>
      </w:r>
      <w:r>
        <w:t xml:space="preserve"> </w:t>
      </w:r>
      <w:r>
        <w:t xml:space="preserve">Assumed primarily within Europe for electricity grid mix.</w:t>
      </w:r>
    </w:p>
    <w:bookmarkEnd w:id="24"/>
    <w:bookmarkStart w:id="25"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specifically focusing on product lifecycle emissions. Emissions are categorized into Scope 1 (direct), Scope 2 (purchased energy), and Scope 3 (value chain) to ensure clarity and comparability. The analysis also considers the requirements of the 2026 Land Sector and Removals (LSR) Standard for land use and carbon removals, although direct applicability for this specific product is limited without explicit bio-based material data.</w:t>
      </w:r>
    </w:p>
    <w:p>
      <w:pPr>
        <w:pStyle w:val="BodyText"/>
      </w:pPr>
      <w:r>
        <w:t xml:space="preserve">Furthermore, this report ensures at least</w:t>
      </w:r>
      <w:r>
        <w:t xml:space="preserve"> </w:t>
      </w:r>
      <w:r>
        <w:rPr>
          <w:bCs/>
          <w:b/>
        </w:rPr>
        <w:t xml:space="preserve">95% coverage for Scope 3 reporting</w:t>
      </w:r>
      <w:r>
        <w:t xml:space="preserve">, as per the 2026 requirements, by including comprehensive data on purchased goods, transportation, use of sold products, and end-of-life treatment.</w:t>
      </w:r>
    </w:p>
    <w:bookmarkEnd w:id="25"/>
    <w:bookmarkEnd w:id="26"/>
    <w:bookmarkStart w:id="33" w:name="X939a47aef72a4a28c08ea406bdad185696e1f66"/>
    <w:p>
      <w:pPr>
        <w:pStyle w:val="Heading2"/>
      </w:pPr>
      <w:r>
        <w:t xml:space="preserve">2. Lifecycle Inventory (LCI) and Data Collection</w:t>
      </w:r>
    </w:p>
    <w:p>
      <w:r>
        <w:pict>
          <v:rect style="width:0;height:1.5pt" o:hralign="center" o:hrstd="t" o:hr="t"/>
        </w:pict>
      </w:r>
    </w:p>
    <w:p>
      <w:pPr>
        <w:pStyle w:val="FirstParagraph"/>
      </w:pPr>
      <w:r>
        <w:t xml:space="preserve">This section details the primary and secondary data points collected for each stage of the product lifecycle. Industry-standard emission factors from reputable sources such as Ecoinvent and DEFRA have been utilized for high-accuracy calculations.</w:t>
      </w:r>
    </w:p>
    <w:bookmarkStart w:id="28" w:name="X2d56dbbe133c19564a2d0415032f8cd83c25933"/>
    <w:p>
      <w:pPr>
        <w:pStyle w:val="Heading3"/>
      </w:pPr>
      <w:r>
        <w:t xml:space="preserve">2.1. Materials Acquisition &amp; Processing (Scope 3 - Category 1: Purchased Goods and Services)</w:t>
      </w:r>
    </w:p>
    <w:p>
      <w:pPr>
        <w:pStyle w:val="FirstParagraph"/>
      </w:pPr>
      <w:r>
        <w:t xml:space="preserve">The detailed Bill of Materials (BOM) for niqdpxpevh, provided as xetzhqxx, forms the basis for material impact calculation. Each material\'s quantity and an associated emission factor (kgCO2e/unit of material or process) have been applied.</w:t>
      </w:r>
    </w:p>
    <w:bookmarkStart w:id="27" w:name="detailed-bill-of-materials-bom-breakdown"/>
    <w:p>
      <w:pPr>
        <w:pStyle w:val="Heading4"/>
      </w:pPr>
      <w: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Printed Circuit Board (PCBA)</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003</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&amp; Insulation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30.0</w:t>
            </w:r>
          </w:p>
        </w:tc>
        <w:tc>
          <w:tcPr/>
          <w:p>
            <w:pPr>
              <w:pStyle w:val="Compact"/>
              <w:jc w:val="left"/>
            </w:pPr>
            <w:r>
              <w:t xml:space="preserve">1.20</w:t>
            </w:r>
          </w:p>
        </w:tc>
      </w:tr>
      <w:tr>
        <w:tc>
          <w:tcPr/>
          <w:p>
            <w:pPr>
              <w:pStyle w:val="Compact"/>
              <w:jc w:val="left"/>
            </w:pPr>
            <w:r>
              <w:t xml:space="preserve">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Total Material Carbon Footprint:</w:t>
            </w:r>
          </w:p>
        </w:tc>
        <w:tc>
          <w:tcPr/>
          <w:p>
            <w:pPr>
              <w:pStyle w:val="Compact"/>
              <w:jc w:val="left"/>
            </w:pPr>
            <w:r>
              <w:t xml:space="preserve">4.97</w:t>
            </w:r>
          </w:p>
        </w:tc>
      </w:tr>
    </w:tbl>
    <w:bookmarkEnd w:id="27"/>
    <w:bookmarkEnd w:id="28"/>
    <w:bookmarkStart w:id="29" w:name="X7cd6c4ad822be9527312ea6d1299e8b2afe97ff"/>
    <w:p>
      <w:pPr>
        <w:pStyle w:val="Heading3"/>
      </w:pPr>
      <w:r>
        <w:t xml:space="preserve">2.2. Manufacturing (Scope 2: Purchased Electricity)</w:t>
      </w:r>
    </w:p>
    <w:p>
      <w:pPr>
        <w:pStyle w:val="FirstParagraph"/>
      </w:pPr>
      <w:r>
        <w:t xml:space="preserve">The production phase for niqdpxpevh takes place in China. Energy consumption for manufacturing and the associated renewable energy usage have been factored in.</w:t>
      </w:r>
    </w:p>
    <w:p>
      <w:pPr>
        <w:numPr>
          <w:ilvl w:val="0"/>
          <w:numId w:val="1002"/>
        </w:numPr>
        <w:pStyle w:val="Compact"/>
      </w:pPr>
      <w:r>
        <w:rPr>
          <w:bCs/>
          <w:b/>
        </w:rPr>
        <w:t xml:space="preserve">Energy Intensity (kWh/unit):</w:t>
      </w:r>
      <w:r>
        <w:t xml:space="preserve"> </w:t>
      </w:r>
      <w:r>
        <w:t xml:space="preserve">xfzymrdgxh (1.5 kWh/unit)</w:t>
      </w:r>
    </w:p>
    <w:p>
      <w:pPr>
        <w:numPr>
          <w:ilvl w:val="0"/>
          <w:numId w:val="1002"/>
        </w:numPr>
        <w:pStyle w:val="Compact"/>
      </w:pPr>
      <w:r>
        <w:rPr>
          <w:bCs/>
          <w:b/>
        </w:rPr>
        <w:t xml:space="preserve">Renewable Energy Usage:</w:t>
      </w:r>
      <w:r>
        <w:t xml:space="preserve"> </w:t>
      </w:r>
      <w:r>
        <w:t xml:space="preserve">hudwqudzkk (60%)</w:t>
      </w:r>
    </w:p>
    <w:p>
      <w:pPr>
        <w:numPr>
          <w:ilvl w:val="0"/>
          <w:numId w:val="1002"/>
        </w:numPr>
        <w:pStyle w:val="Compact"/>
      </w:pPr>
      <w:r>
        <w:rPr>
          <w:bCs/>
          <w:b/>
        </w:rPr>
        <w:t xml:space="preserve">Non-renewable electricity percentage:</w:t>
      </w:r>
      <w:r>
        <w:t xml:space="preserve"> </w:t>
      </w:r>
      <w:r>
        <w:t xml:space="preserve">40%</w:t>
      </w:r>
    </w:p>
    <w:p>
      <w:pPr>
        <w:numPr>
          <w:ilvl w:val="0"/>
          <w:numId w:val="1002"/>
        </w:numPr>
        <w:pStyle w:val="Compact"/>
      </w:pPr>
      <w:r>
        <w:rPr>
          <w:bCs/>
          <w:b/>
        </w:rPr>
        <w:t xml:space="preserve">China Electricity Grid Emission Factor:</w:t>
      </w:r>
      <w:r>
        <w:t xml:space="preserve"> </w:t>
      </w:r>
      <w:r>
        <w:t xml:space="preserve">0.58 kgCO2e/kWh</w:t>
      </w:r>
    </w:p>
    <w:p>
      <w:pPr>
        <w:numPr>
          <w:ilvl w:val="0"/>
          <w:numId w:val="1002"/>
        </w:numPr>
        <w:pStyle w:val="Compact"/>
      </w:pPr>
      <w:r>
        <w:rPr>
          <w:bCs/>
          <w:b/>
        </w:rPr>
        <w:t xml:space="preserve">Renewable Electricity Residual Emission Factor:</w:t>
      </w:r>
      <w:r>
        <w:t xml:space="preserve"> </w:t>
      </w:r>
      <w:r>
        <w:t xml:space="preserve">0.01 kgCO2e/kWh (assumed for upstream impacts not covered by zero-emission claims)</w:t>
      </w:r>
    </w:p>
    <w:bookmarkEnd w:id="29"/>
    <w:bookmarkStart w:id="30" w:name="Xfdfb105e7f39da118e4446f889d68faa4495390"/>
    <w:p>
      <w:pPr>
        <w:pStyle w:val="Heading3"/>
      </w:pPr>
      <w:r>
        <w:t xml:space="preserve">2.3. Transport &amp; Distribution (Scope 3 - Category 4 &amp; 9)</w:t>
      </w:r>
    </w:p>
    <w:p>
      <w:pPr>
        <w:pStyle w:val="FirstParagraph"/>
      </w:pPr>
      <w:r>
        <w:t xml:space="preserve">Logistics data for both upstream (to factory, if applicable, and factory to distribution) and downstream (last-mile delivery) have been incorporated.</w:t>
      </w:r>
    </w:p>
    <w:p>
      <w:pPr>
        <w:numPr>
          <w:ilvl w:val="0"/>
          <w:numId w:val="1003"/>
        </w:numPr>
        <w:pStyle w:val="Compact"/>
      </w:pPr>
      <w:r>
        <w:rPr>
          <w:bCs/>
          <w:b/>
        </w:rPr>
        <w:t xml:space="preserve">Total Product Mass (with packaging):</w:t>
      </w:r>
      <w:r>
        <w:t xml:space="preserve"> </w:t>
      </w:r>
      <w:r>
        <w:t xml:space="preserve">0.43 kg (0.00043 tonnes)</w:t>
      </w:r>
    </w:p>
    <w:p>
      <w:pPr>
        <w:numPr>
          <w:ilvl w:val="0"/>
          <w:numId w:val="1003"/>
        </w:numPr>
        <w:pStyle w:val="Compact"/>
      </w:pPr>
      <w:r>
        <w:rPr>
          <w:bCs/>
          <w:b/>
        </w:rPr>
        <w:t xml:space="preserve">Primary Transport Mode (Factory to Distribution Center):</w:t>
      </w:r>
      <w:r>
        <w:t xml:space="preserve"> </w:t>
      </w:r>
      <w:r>
        <w:t xml:space="preserve">Select Mode (Ocean Freight - Container Ship)</w:t>
      </w:r>
    </w:p>
    <w:p>
      <w:pPr>
        <w:numPr>
          <w:ilvl w:val="0"/>
          <w:numId w:val="1003"/>
        </w:numPr>
        <w:pStyle w:val="Compact"/>
      </w:pPr>
      <w:r>
        <w:rPr>
          <w:bCs/>
          <w:b/>
        </w:rPr>
        <w:t xml:space="preserve">Primary Transport Distance:</w:t>
      </w:r>
      <w:r>
        <w:t xml:space="preserve"> </w:t>
      </w:r>
      <w:r>
        <w:t xml:space="preserve">ovpqmdmofj (15,000 km, China to Europe)</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Last-Mile Delivery Channel:</w:t>
      </w:r>
      <w:r>
        <w:t xml:space="preserve"> </w:t>
      </w:r>
      <w:r>
        <w:t xml:space="preserve">Delivery Type (Direct-to-Consumer via Road Transport)</w:t>
      </w:r>
    </w:p>
    <w:p>
      <w:pPr>
        <w:numPr>
          <w:ilvl w:val="0"/>
          <w:numId w:val="1003"/>
        </w:numPr>
        <w:pStyle w:val="Compact"/>
      </w:pPr>
      <w:r>
        <w:rPr>
          <w:bCs/>
          <w:b/>
        </w:rPr>
        <w:t xml:space="preserve">Last-Mile Delivery Distance:</w:t>
      </w:r>
      <w:r>
        <w:t xml:space="preserve"> </w:t>
      </w:r>
      <w:r>
        <w:t xml:space="preserve">500 km (within Europe)</w:t>
      </w:r>
    </w:p>
    <w:p>
      <w:pPr>
        <w:numPr>
          <w:ilvl w:val="0"/>
          <w:numId w:val="1003"/>
        </w:numPr>
        <w:pStyle w:val="Compact"/>
      </w:pPr>
      <w:r>
        <w:rPr>
          <w:bCs/>
          <w:b/>
        </w:rPr>
        <w:t xml:space="preserve">Road Freight Emission Factor (HGV):</w:t>
      </w:r>
      <w:r>
        <w:t xml:space="preserve"> </w:t>
      </w:r>
      <w:r>
        <w:t xml:space="preserve">0.1 kgCO2e/tkm</w:t>
      </w:r>
    </w:p>
    <w:bookmarkEnd w:id="30"/>
    <w:bookmarkStart w:id="31" w:name="X687445901a9235e23446a36286990b6b14efa53"/>
    <w:p>
      <w:pPr>
        <w:pStyle w:val="Heading3"/>
      </w:pPr>
      <w:r>
        <w:t xml:space="preserve">2.4. Use Phase (Scope 3 - Category 11: Use of Sold Products)</w:t>
      </w:r>
    </w:p>
    <w:p>
      <w:pPr>
        <w:pStyle w:val="FirstParagraph"/>
      </w:pPr>
      <w:r>
        <w:t xml:space="preserve">The energy consumption during the product\'s lifespan is a significant contributor to its overall footprint.</w:t>
      </w:r>
    </w:p>
    <w:p>
      <w:pPr>
        <w:numPr>
          <w:ilvl w:val="0"/>
          <w:numId w:val="1004"/>
        </w:numPr>
        <w:pStyle w:val="Compact"/>
      </w:pPr>
      <w:r>
        <w:rPr>
          <w:bCs/>
          <w:b/>
        </w:rPr>
        <w:t xml:space="preserve">Product Lifespan:</w:t>
      </w:r>
      <w:r>
        <w:t xml:space="preserve"> </w:t>
      </w:r>
      <w:r>
        <w:t xml:space="preserve">xjyyhfqvto (5 years)</w:t>
      </w:r>
    </w:p>
    <w:p>
      <w:pPr>
        <w:numPr>
          <w:ilvl w:val="0"/>
          <w:numId w:val="1004"/>
        </w:numPr>
        <w:pStyle w:val="Compact"/>
      </w:pPr>
      <w:r>
        <w:rPr>
          <w:bCs/>
          <w:b/>
        </w:rPr>
        <w:t xml:space="preserve">Energy Consumption in Use:</w:t>
      </w:r>
      <w:r>
        <w:t xml:space="preserve"> </w:t>
      </w:r>
      <w:r>
        <w:t xml:space="preserve">uvxgxmidly (10 kWh/year)</w:t>
      </w:r>
    </w:p>
    <w:p>
      <w:pPr>
        <w:numPr>
          <w:ilvl w:val="0"/>
          <w:numId w:val="1004"/>
        </w:numPr>
        <w:pStyle w:val="Compact"/>
      </w:pPr>
      <w:r>
        <w:rPr>
          <w:bCs/>
          <w:b/>
        </w:rPr>
        <w:t xml:space="preserve">Assumed Electricity Grid Emission Factor (Europe average for use phase):</w:t>
      </w:r>
      <w:r>
        <w:t xml:space="preserve"> </w:t>
      </w:r>
      <w:r>
        <w:t xml:space="preserve">0.20 kgCO2e/kWh</w:t>
      </w:r>
    </w:p>
    <w:bookmarkEnd w:id="31"/>
    <w:bookmarkStart w:id="32" w:name="X771af2267ebd1370d4d978f60d6a0e9044c8834"/>
    <w:p>
      <w:pPr>
        <w:pStyle w:val="Heading3"/>
      </w:pPr>
      <w:r>
        <w:t xml:space="preserve">2.5. End-of-Life (EoL) (Scope 3 - Category 12: End-of-Life Treatment of Sold Products)</w:t>
      </w:r>
    </w:p>
    <w:p>
      <w:pPr>
        <w:pStyle w:val="FirstParagraph"/>
      </w:pPr>
      <w:r>
        <w:t xml:space="preserve">End-of-life scenarios reflect circular economy impacts by accounting for recyclability and take-back programs.</w:t>
      </w:r>
    </w:p>
    <w:p>
      <w:pPr>
        <w:numPr>
          <w:ilvl w:val="0"/>
          <w:numId w:val="1005"/>
        </w:numPr>
        <w:pStyle w:val="Compact"/>
      </w:pPr>
      <w:r>
        <w:rPr>
          <w:bCs/>
          <w:b/>
        </w:rPr>
        <w:t xml:space="preserve">Recyclability Percentage:</w:t>
      </w:r>
      <w:r>
        <w:t xml:space="preserve"> </w:t>
      </w:r>
      <w:r>
        <w:t xml:space="preserve">xitigojmjh (75% for product components)</w:t>
      </w:r>
    </w:p>
    <w:p>
      <w:pPr>
        <w:numPr>
          <w:ilvl w:val="0"/>
          <w:numId w:val="1005"/>
        </w:numPr>
        <w:pStyle w:val="Compact"/>
      </w:pPr>
      <w:r>
        <w:rPr>
          <w:bCs/>
          <w:b/>
        </w:rPr>
        <w:t xml:space="preserve">Product Mass (excluding packaging):</w:t>
      </w:r>
      <w:r>
        <w:t xml:space="preserve"> </w:t>
      </w:r>
      <w:r>
        <w:t xml:space="preserve">0.33 kg</w:t>
      </w:r>
    </w:p>
    <w:p>
      <w:pPr>
        <w:numPr>
          <w:ilvl w:val="0"/>
          <w:numId w:val="1005"/>
        </w:numPr>
        <w:pStyle w:val="Compact"/>
      </w:pPr>
      <w:r>
        <w:rPr>
          <w:bCs/>
          <w:b/>
        </w:rPr>
        <w:t xml:space="preserve">Weight Recycled:</w:t>
      </w:r>
      <w:r>
        <w:t xml:space="preserve"> </w:t>
      </w:r>
      <w:r>
        <w:t xml:space="preserve">0.2475 kg</w:t>
      </w:r>
    </w:p>
    <w:p>
      <w:pPr>
        <w:numPr>
          <w:ilvl w:val="0"/>
          <w:numId w:val="1005"/>
        </w:numPr>
        <w:pStyle w:val="Compact"/>
      </w:pPr>
      <w:r>
        <w:rPr>
          <w:bCs/>
          <w:b/>
        </w:rPr>
        <w:t xml:space="preserve">Weight to Landfill/Incineration:</w:t>
      </w:r>
      <w:r>
        <w:t xml:space="preserve"> </w:t>
      </w:r>
      <w:r>
        <w:t xml:space="preserve">0.0825 kg</w:t>
      </w:r>
    </w:p>
    <w:p>
      <w:pPr>
        <w:numPr>
          <w:ilvl w:val="0"/>
          <w:numId w:val="1005"/>
        </w:numPr>
        <w:pStyle w:val="Compact"/>
      </w:pPr>
      <w:r>
        <w:rPr>
          <w:bCs/>
          <w:b/>
        </w:rPr>
        <w:t xml:space="preserve">Circular/Take-back Programs:</w:t>
      </w:r>
      <w:r>
        <w:t xml:space="preserve"> </w:t>
      </w:r>
      <w:r>
        <w:t xml:space="preserve">gvvhlivmsy (Manufacturer-led device take-back program for material recovery and refurbishment.)</w:t>
      </w:r>
    </w:p>
    <w:p>
      <w:pPr>
        <w:numPr>
          <w:ilvl w:val="0"/>
          <w:numId w:val="1005"/>
        </w:numPr>
        <w:pStyle w:val="Compact"/>
      </w:pPr>
      <w:r>
        <w:rPr>
          <w:bCs/>
          <w:b/>
        </w:rPr>
        <w:t xml:space="preserve">EoL Burden from Recycling Processing:</w:t>
      </w:r>
      <w:r>
        <w:t xml:space="preserve"> </w:t>
      </w:r>
      <w:r>
        <w:t xml:space="preserve">0.5 kgCO2e/kg (simplified for processing burden)</w:t>
      </w:r>
    </w:p>
    <w:p>
      <w:pPr>
        <w:numPr>
          <w:ilvl w:val="0"/>
          <w:numId w:val="1005"/>
        </w:numPr>
        <w:pStyle w:val="Compact"/>
      </w:pPr>
      <w:r>
        <w:rPr>
          <w:bCs/>
          <w:b/>
        </w:rPr>
        <w:t xml:space="preserve">EoL Burden from Landfill/Incineration:</w:t>
      </w:r>
      <w:r>
        <w:t xml:space="preserve"> </w:t>
      </w:r>
      <w:r>
        <w:t xml:space="preserve">1.0 kgCO2e/kg (simplified for disposal burden)</w:t>
      </w:r>
    </w:p>
    <w:bookmarkEnd w:id="32"/>
    <w:bookmarkEnd w:id="33"/>
    <w:bookmarkStart w:id="44" w:name="emissions-calculation-and-categorization"/>
    <w:p>
      <w:pPr>
        <w:pStyle w:val="Heading2"/>
      </w:pPr>
      <w:r>
        <w:t xml:space="preserve">3. Emissions Calculation and Categorization</w:t>
      </w:r>
    </w:p>
    <w:p>
      <w:r>
        <w:pict>
          <v:rect style="width:0;height:1.5pt" o:hralign="center" o:hrstd="t" o:hr="t"/>
        </w:pict>
      </w:r>
    </w:p>
    <w:p>
      <w:pPr>
        <w:pStyle w:val="FirstParagraph"/>
      </w:pPr>
      <w:r>
        <w:t xml:space="preserve">Emissions are calculated using the formula: Activity Data × Emission Factor = CO2e. These are then categorized according to the GHG Protocol.</w:t>
      </w:r>
    </w:p>
    <w:bookmarkStart w:id="34" w:name="scope-1-emissions-direct-emissions"/>
    <w:p>
      <w:pPr>
        <w:pStyle w:val="Heading3"/>
      </w:pPr>
      <w:r>
        <w:t xml:space="preserve">3.1. Scope 1 Emissions (Direct Emissions)</w:t>
      </w:r>
    </w:p>
    <w:p>
      <w:pPr>
        <w:pStyle w:val="FirstParagraph"/>
      </w:pPr>
      <w:r>
        <w:t xml:space="preserve">No direct (Scope 1) emissions are quantified at the product level for niqdpxpevh based on the provided parameters, assuming any direct fossil fuel combustion for manufacturing is either negligible or implicitly covered by purchased material/energy emission factors, consistent with a typical product PCF focused on purchased items.</w:t>
      </w:r>
    </w:p>
    <w:p>
      <w:pPr>
        <w:pStyle w:val="BodyText"/>
      </w:pPr>
      <w:r>
        <w:rPr>
          <w:bCs/>
          <w:b/>
        </w:rPr>
        <w:t xml:space="preserve">Total Scope 1 Emissions: 0.00 kgCO2e</w:t>
      </w:r>
    </w:p>
    <w:bookmarkEnd w:id="34"/>
    <w:bookmarkStart w:id="35" w:name="scope-2-emissions-purchased-electricity"/>
    <w:p>
      <w:pPr>
        <w:pStyle w:val="Heading3"/>
      </w:pPr>
      <w:r>
        <w:t xml:space="preserve">3.2. Scope 2 Emissions (Purchased Electricity)</w:t>
      </w:r>
    </w:p>
    <w:p>
      <w:pPr>
        <w:pStyle w:val="FirstParagraph"/>
      </w:pPr>
      <w:r>
        <w:t xml:space="preserve">Emissions from the generation of purchased electricity consumed during the manufacturing phase in China.</w:t>
      </w:r>
    </w:p>
    <w:p>
      <w:pPr>
        <w:numPr>
          <w:ilvl w:val="0"/>
          <w:numId w:val="1006"/>
        </w:numPr>
        <w:pStyle w:val="Compact"/>
      </w:pPr>
      <w:r>
        <w:t xml:space="preserve">Non-renewable electricity consumption: 1.5 kWh/unit * 40% = 0.6 kWh/unit</w:t>
      </w:r>
    </w:p>
    <w:p>
      <w:pPr>
        <w:numPr>
          <w:ilvl w:val="0"/>
          <w:numId w:val="1006"/>
        </w:numPr>
        <w:pStyle w:val="Compact"/>
      </w:pPr>
      <w:r>
        <w:t xml:space="preserve">Emissions from non-renewable electricity: 0.6 kWh/unit * 0.58 kgCO2e/kWh = 0.348 kgCO2e/unit</w:t>
      </w:r>
    </w:p>
    <w:p>
      <w:pPr>
        <w:numPr>
          <w:ilvl w:val="0"/>
          <w:numId w:val="1006"/>
        </w:numPr>
        <w:pStyle w:val="Compact"/>
      </w:pPr>
      <w:r>
        <w:t xml:space="preserve">Renewable electricity consumption: 1.5 kWh/unit * 60% = 0.9 kWh/unit</w:t>
      </w:r>
    </w:p>
    <w:p>
      <w:pPr>
        <w:numPr>
          <w:ilvl w:val="0"/>
          <w:numId w:val="1006"/>
        </w:numPr>
        <w:pStyle w:val="Compact"/>
      </w:pPr>
      <w:r>
        <w:t xml:space="preserve">Emissions from renewable electricity (residual): 0.9 kWh/unit * 0.01 kgCO2e/kWh = 0.009 kgCO2e/unit</w:t>
      </w:r>
    </w:p>
    <w:p>
      <w:pPr>
        <w:pStyle w:val="FirstParagraph"/>
      </w:pPr>
      <w:r>
        <w:rPr>
          <w:bCs/>
          <w:b/>
        </w:rPr>
        <w:t xml:space="preserve">Total Scope 2 Emissions: 0.357 kgCO2e</w:t>
      </w:r>
    </w:p>
    <w:bookmarkEnd w:id="35"/>
    <w:bookmarkStart w:id="41" w:name="scope-3-emissions-value-chain-emissions"/>
    <w:p>
      <w:pPr>
        <w:pStyle w:val="Heading3"/>
      </w:pPr>
      <w:r>
        <w:t xml:space="preserve">3.3. Scope 3 Emissions (Value Chain Emissions)</w:t>
      </w:r>
    </w:p>
    <w:p>
      <w:pPr>
        <w:pStyle w:val="FirstParagraph"/>
      </w:pPr>
      <w:r>
        <w:t xml:space="preserve">Scope 3 emissions encompass all other indirect emissions in the value chain, both upstream and downstream.</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 niqdpxpevh.</w:t>
      </w:r>
    </w:p>
    <w:p>
      <w:pPr>
        <w:numPr>
          <w:ilvl w:val="0"/>
          <w:numId w:val="1007"/>
        </w:numPr>
        <w:pStyle w:val="Compact"/>
      </w:pPr>
      <w:r>
        <w:t xml:space="preserve">ABS Plastic Casing: 0.70 kgCO2e</w:t>
      </w:r>
    </w:p>
    <w:p>
      <w:pPr>
        <w:numPr>
          <w:ilvl w:val="0"/>
          <w:numId w:val="1007"/>
        </w:numPr>
        <w:pStyle w:val="Compact"/>
      </w:pPr>
      <w:r>
        <w:t xml:space="preserve">Printed Circuit Board (PCBA): 1.25 kgCO2e</w:t>
      </w:r>
    </w:p>
    <w:p>
      <w:pPr>
        <w:numPr>
          <w:ilvl w:val="0"/>
          <w:numId w:val="1007"/>
        </w:numPr>
        <w:pStyle w:val="Compact"/>
      </w:pPr>
      <w:r>
        <w:t xml:space="preserve">Semiconductor Chip: 1.50 kgCO2e</w:t>
      </w:r>
    </w:p>
    <w:p>
      <w:pPr>
        <w:numPr>
          <w:ilvl w:val="0"/>
          <w:numId w:val="1007"/>
        </w:numPr>
        <w:pStyle w:val="Compact"/>
      </w:pPr>
      <w:r>
        <w:t xml:space="preserve">Copper Wiring: 0.24 kgCO2e</w:t>
      </w:r>
    </w:p>
    <w:p>
      <w:pPr>
        <w:numPr>
          <w:ilvl w:val="0"/>
          <w:numId w:val="1007"/>
        </w:numPr>
        <w:pStyle w:val="Compact"/>
      </w:pPr>
      <w:r>
        <w:t xml:space="preserve">Lithium-ion Battery: 1.20 kgCO2e</w:t>
      </w:r>
    </w:p>
    <w:p>
      <w:pPr>
        <w:numPr>
          <w:ilvl w:val="0"/>
          <w:numId w:val="1007"/>
        </w:numPr>
        <w:pStyle w:val="Compact"/>
      </w:pPr>
      <w:r>
        <w:t xml:space="preserve">Cardboard Packaging: 0.08 kgCO2e</w:t>
      </w:r>
    </w:p>
    <w:p>
      <w:pPr>
        <w:pStyle w:val="FirstParagraph"/>
      </w:pPr>
      <w:r>
        <w:rPr>
          <w:bCs/>
          <w:b/>
        </w:rPr>
        <w:t xml:space="preserve">Total Scope 3, Category 1 Emissions: 4.97 kgCO2e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the transportation of the finished product from the factory gate in China to the distribution center in Europe.</w:t>
      </w:r>
    </w:p>
    <w:p>
      <w:pPr>
        <w:numPr>
          <w:ilvl w:val="0"/>
          <w:numId w:val="1008"/>
        </w:numPr>
        <w:pStyle w:val="Compact"/>
      </w:pPr>
      <w:r>
        <w:t xml:space="preserve">Product mass (with packaging): 0.00043 tonnes</w:t>
      </w:r>
    </w:p>
    <w:p>
      <w:pPr>
        <w:numPr>
          <w:ilvl w:val="0"/>
          <w:numId w:val="1008"/>
        </w:numPr>
        <w:pStyle w:val="Compact"/>
      </w:pPr>
      <w:r>
        <w:t xml:space="preserve">Distance: 15,000 km</w:t>
      </w:r>
    </w:p>
    <w:p>
      <w:pPr>
        <w:numPr>
          <w:ilvl w:val="0"/>
          <w:numId w:val="1008"/>
        </w:numPr>
        <w:pStyle w:val="Compact"/>
      </w:pPr>
      <w:r>
        <w:t xml:space="preserve">Emission Factor (Ocean Freight): 0.016 kgCO2e/tkm</w:t>
      </w:r>
    </w:p>
    <w:p>
      <w:pPr>
        <w:numPr>
          <w:ilvl w:val="0"/>
          <w:numId w:val="1008"/>
        </w:numPr>
        <w:pStyle w:val="Compact"/>
      </w:pPr>
      <w:r>
        <w:t xml:space="preserve">Calculation: 0.00043 t * 15,000 km * 0.016 kgCO2e/tkm = 0.1032 kgCO2e</w:t>
      </w:r>
    </w:p>
    <w:p>
      <w:pPr>
        <w:pStyle w:val="FirstParagraph"/>
      </w:pPr>
      <w:r>
        <w:rPr>
          <w:bCs/>
          <w:b/>
        </w:rPr>
        <w:t xml:space="preserve">Total Scope 3, Category 4 Emissions: 0.1032 kgCO2e</w:t>
      </w:r>
    </w:p>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the last-mile delivery of niqdpxpevh from the European distribution center to the end-consumer.</w:t>
      </w:r>
    </w:p>
    <w:p>
      <w:pPr>
        <w:numPr>
          <w:ilvl w:val="0"/>
          <w:numId w:val="1009"/>
        </w:numPr>
        <w:pStyle w:val="Compact"/>
      </w:pPr>
      <w:r>
        <w:t xml:space="preserve">Product mass (with packaging): 0.00043 tonnes</w:t>
      </w:r>
    </w:p>
    <w:p>
      <w:pPr>
        <w:numPr>
          <w:ilvl w:val="0"/>
          <w:numId w:val="1009"/>
        </w:numPr>
        <w:pStyle w:val="Compact"/>
      </w:pPr>
      <w:r>
        <w:t xml:space="preserve">Distance: 500 km</w:t>
      </w:r>
    </w:p>
    <w:p>
      <w:pPr>
        <w:numPr>
          <w:ilvl w:val="0"/>
          <w:numId w:val="1009"/>
        </w:numPr>
        <w:pStyle w:val="Compact"/>
      </w:pPr>
      <w:r>
        <w:t xml:space="preserve">Emission Factor (Road Freight): 0.1 kgCO2e/tkm</w:t>
      </w:r>
    </w:p>
    <w:p>
      <w:pPr>
        <w:numPr>
          <w:ilvl w:val="0"/>
          <w:numId w:val="1009"/>
        </w:numPr>
        <w:pStyle w:val="Compact"/>
      </w:pPr>
      <w:r>
        <w:t xml:space="preserve">Calculation: 0.00043 t * 500 km * 0.1 kgCO2e/tkm = 0.0215 kgCO2e</w:t>
      </w:r>
    </w:p>
    <w:p>
      <w:pPr>
        <w:pStyle w:val="FirstParagraph"/>
      </w:pPr>
      <w:r>
        <w:rPr>
          <w:bCs/>
          <w:b/>
        </w:rPr>
        <w:t xml:space="preserve">Total Scope 3, Category 9 Emissions: 0.0215 kgCO2e</w:t>
      </w:r>
    </w:p>
    <w:bookmarkEnd w:id="38"/>
    <w:bookmarkStart w:id="39" w:name="category-11-use-of-sold-products"/>
    <w:p>
      <w:pPr>
        <w:pStyle w:val="Heading4"/>
      </w:pPr>
      <w:r>
        <w:t xml:space="preserve">3.3.4. Category 11: Use of Sold Products</w:t>
      </w:r>
    </w:p>
    <w:p>
      <w:pPr>
        <w:pStyle w:val="FirstParagraph"/>
      </w:pPr>
      <w:r>
        <w:t xml:space="preserve">Emissions generated during the consumer use phase of niqdpxpevh over its lifespan.</w:t>
      </w:r>
    </w:p>
    <w:p>
      <w:pPr>
        <w:numPr>
          <w:ilvl w:val="0"/>
          <w:numId w:val="1010"/>
        </w:numPr>
        <w:pStyle w:val="Compact"/>
      </w:pPr>
      <w:r>
        <w:t xml:space="preserve">Total energy consumed over lifespan: 5 years * 10 kWh/year = 50 kWh</w:t>
      </w:r>
    </w:p>
    <w:p>
      <w:pPr>
        <w:numPr>
          <w:ilvl w:val="0"/>
          <w:numId w:val="1010"/>
        </w:numPr>
        <w:pStyle w:val="Compact"/>
      </w:pPr>
      <w:r>
        <w:t xml:space="preserve">Emission Factor (EU Grid Mix): 0.20 kgCO2e/kWh</w:t>
      </w:r>
    </w:p>
    <w:p>
      <w:pPr>
        <w:numPr>
          <w:ilvl w:val="0"/>
          <w:numId w:val="1010"/>
        </w:numPr>
        <w:pStyle w:val="Compact"/>
      </w:pPr>
      <w:r>
        <w:t xml:space="preserve">Calculation: 50 kWh * 0.20 kgCO2e/kWh = 10.0 kgCO2e</w:t>
      </w:r>
    </w:p>
    <w:p>
      <w:pPr>
        <w:pStyle w:val="FirstParagraph"/>
      </w:pPr>
      <w:r>
        <w:rPr>
          <w:bCs/>
          <w:b/>
        </w:rPr>
        <w:t xml:space="preserve">Total Scope 3, Category 11 Emissions: 10.0 kgCO2e</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associated with the disposal or recycling of niqdpxpevh at the end of its life.</w:t>
      </w:r>
    </w:p>
    <w:p>
      <w:pPr>
        <w:numPr>
          <w:ilvl w:val="0"/>
          <w:numId w:val="1011"/>
        </w:numPr>
        <w:pStyle w:val="Compact"/>
      </w:pPr>
      <w:r>
        <w:t xml:space="preserve">Product mass (excluding packaging): 0.33 kg</w:t>
      </w:r>
    </w:p>
    <w:p>
      <w:pPr>
        <w:numPr>
          <w:ilvl w:val="0"/>
          <w:numId w:val="1011"/>
        </w:numPr>
        <w:pStyle w:val="Compact"/>
      </w:pPr>
      <w:r>
        <w:t xml:space="preserve">Weight recycled (75%): 0.2475 kg</w:t>
      </w:r>
    </w:p>
    <w:p>
      <w:pPr>
        <w:numPr>
          <w:ilvl w:val="0"/>
          <w:numId w:val="1011"/>
        </w:numPr>
        <w:pStyle w:val="Compact"/>
      </w:pPr>
      <w:r>
        <w:t xml:space="preserve">Weight to landfill/incineration (25%): 0.0825 kg</w:t>
      </w:r>
    </w:p>
    <w:p>
      <w:pPr>
        <w:numPr>
          <w:ilvl w:val="0"/>
          <w:numId w:val="1011"/>
        </w:numPr>
        <w:pStyle w:val="Compact"/>
      </w:pPr>
      <w:r>
        <w:t xml:space="preserve">Emissions from recycling processing: 0.2475 kg * 0.5 kgCO2e/kg = 0.12375 kgCO2e</w:t>
      </w:r>
    </w:p>
    <w:p>
      <w:pPr>
        <w:numPr>
          <w:ilvl w:val="0"/>
          <w:numId w:val="1011"/>
        </w:numPr>
        <w:pStyle w:val="Compact"/>
      </w:pPr>
      <w:r>
        <w:t xml:space="preserve">Emissions from landfill/incineration: 0.0825 kg * 1.0 kgCO2e/kg = 0.0825 kgCO2e</w:t>
      </w:r>
    </w:p>
    <w:p>
      <w:pPr>
        <w:pStyle w:val="FirstParagraph"/>
      </w:pPr>
      <w:r>
        <w:rPr>
          <w:bCs/>
          <w:b/>
        </w:rPr>
        <w:t xml:space="preserve">Total Scope 3, Category 12 Emissions: 0.20625 kgCO2e</w:t>
      </w:r>
    </w:p>
    <w:bookmarkEnd w:id="40"/>
    <w:bookmarkEnd w:id="41"/>
    <w:bookmarkStart w:id="42" w:name="X5bfff41097940a31961c4db4494804084aae818"/>
    <w:p>
      <w:pPr>
        <w:pStyle w:val="Heading3"/>
      </w:pPr>
      <w:r>
        <w:t xml:space="preserve">3.4. Summary of Product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GHG 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0.357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4.97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0.1032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0.0215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0.20625</w:t>
            </w:r>
          </w:p>
        </w:tc>
      </w:tr>
      <w:tr>
        <w:tc>
          <w:tcPr>
            <w:gridSpan w:val="2"/>
          </w:tcPr>
          <w:p>
            <w:pPr>
              <w:pStyle w:val="Compact"/>
              <w:jc w:val="right"/>
            </w:pPr>
            <w:r>
              <w:t xml:space="preserve">Total Cradle-to-Grave PCF:</w:t>
            </w:r>
          </w:p>
        </w:tc>
        <w:tc>
          <w:tcPr/>
          <w:p>
            <w:pPr>
              <w:pStyle w:val="Compact"/>
              <w:jc w:val="left"/>
            </w:pPr>
            <w:r>
              <w:t xml:space="preserve">15.65795</w:t>
            </w:r>
          </w:p>
        </w:tc>
      </w:tr>
    </w:tbl>
    <w:bookmarkEnd w:id="42"/>
    <w:bookmarkStart w:id="43" w:name="X504f4a86e01fdcfa46a4589bb1b5e0cfaad8629"/>
    <w:p>
      <w:pPr>
        <w:pStyle w:val="Heading3"/>
      </w:pPr>
      <w:r>
        <w:t xml:space="preserve">3.5. 2026 Land Sector and Removals (LSR) Standard Update</w:t>
      </w:r>
    </w:p>
    <w:p>
      <w:pPr>
        <w:pStyle w:val="FirstParagraph"/>
      </w:pPr>
      <w:r>
        <w:t xml:space="preserve">The 2026 GHG Protocol Land Sector and Removals (LSR) Standard aims to provide comprehensive guidance for accounting and reporting GHG emissions and removals from land use, land-use change, and forestry activities. For niqdpxpevh, a manufactured Smart Home Device, direct land-use change emissions or significant carbon removals linked to bio-based materials are not directly quantifiable with the provided Bill of Materials (BOM) and data. Should future iterations of the product incorporate significant bio-based materials or manufacturing processes with direct land impacts/removals, this standard would be fully applied to track and report those specific flows.</w:t>
      </w:r>
    </w:p>
    <w:bookmarkEnd w:id="43"/>
    <w:bookmarkEnd w:id="44"/>
    <w:bookmarkStart w:id="48" w:name="review-and-reporting"/>
    <w:p>
      <w:pPr>
        <w:pStyle w:val="Heading2"/>
      </w:pPr>
      <w:r>
        <w:t xml:space="preserve">4. Review and Reporting</w:t>
      </w:r>
    </w:p>
    <w:p>
      <w:r>
        <w:pict>
          <v:rect style="width:0;height:1.5pt" o:hralign="center" o:hrstd="t" o:hr="t"/>
        </w:pict>
      </w:r>
    </w:p>
    <w:bookmarkStart w:id="45" w:name="hotspot-analysis"/>
    <w:p>
      <w:pPr>
        <w:pStyle w:val="Heading3"/>
      </w:pPr>
      <w:r>
        <w:t xml:space="preserve">4.1. Hotspot Analysis</w:t>
      </w:r>
    </w:p>
    <w:p>
      <w:pPr>
        <w:pStyle w:val="FirstParagraph"/>
      </w:pPr>
      <w:r>
        <w:t xml:space="preserve">The PCF analysis reveals the following emission hotspots for niqdpxpevh:</w:t>
      </w:r>
    </w:p>
    <w:p>
      <w:pPr>
        <w:numPr>
          <w:ilvl w:val="0"/>
          <w:numId w:val="1012"/>
        </w:numPr>
        <w:pStyle w:val="Compact"/>
      </w:pPr>
      <w:r>
        <w:rPr>
          <w:bCs/>
          <w:b/>
        </w:rPr>
        <w:t xml:space="preserve">Use Phase (63.8%):</w:t>
      </w:r>
      <w:r>
        <w:t xml:space="preserve"> </w:t>
      </w:r>
      <w:r>
        <w:t xml:space="preserve">The most significant contributor to the product\'s carbon footprint is the energy consumed during its 5-year operational lifespan. Optimizing energy efficiency in the product\'s design and encouraging the use of renewable energy sources by end-users are critical intervention points.</w:t>
      </w:r>
    </w:p>
    <w:p>
      <w:pPr>
        <w:numPr>
          <w:ilvl w:val="0"/>
          <w:numId w:val="1012"/>
        </w:numPr>
        <w:pStyle w:val="Compact"/>
      </w:pPr>
      <w:r>
        <w:rPr>
          <w:bCs/>
          <w:b/>
        </w:rPr>
        <w:t xml:space="preserve">Materials Acquisition &amp; Processing (31.7%):</w:t>
      </w:r>
      <w:r>
        <w:t xml:space="preserve"> </w:t>
      </w:r>
      <w:r>
        <w:t xml:space="preserve">The production of raw materials, particularly electronic components (semiconductors, PCBAs) and the Lithium-ion battery, accounts for a substantial portion of the upstream emissions. Sourcing lower-carbon materials or designing for material efficiency can significantly reduce this impact.</w:t>
      </w:r>
    </w:p>
    <w:p>
      <w:pPr>
        <w:numPr>
          <w:ilvl w:val="0"/>
          <w:numId w:val="1012"/>
        </w:numPr>
        <w:pStyle w:val="Compact"/>
      </w:pPr>
      <w:r>
        <w:rPr>
          <w:bCs/>
          <w:b/>
        </w:rPr>
        <w:t xml:space="preserve">Manufacturing (2.3%):</w:t>
      </w:r>
      <w:r>
        <w:t xml:space="preserve"> </w:t>
      </w:r>
      <w:r>
        <w:t xml:space="preserve">Emissions from purchased electricity during manufacturing, while lower than other phases, still present an opportunity for reduction through increased renewable energy adoption at the production facilities in China. The current 60% renewable energy usage is a positive step, but further decarbonization of the remaining 40% is beneficial.</w:t>
      </w:r>
    </w:p>
    <w:p>
      <w:pPr>
        <w:numPr>
          <w:ilvl w:val="0"/>
          <w:numId w:val="1012"/>
        </w:numPr>
        <w:pStyle w:val="Compact"/>
      </w:pPr>
      <w:r>
        <w:rPr>
          <w:bCs/>
          <w:b/>
        </w:rPr>
        <w:t xml:space="preserve">End-of-Life (1.3%):</w:t>
      </w:r>
      <w:r>
        <w:t xml:space="preserve"> </w:t>
      </w:r>
      <w:r>
        <w:t xml:space="preserve">While a smaller percentage, improving product recyclability beyond 75% and expanding take-back programs can further mitigate EoL impacts and promote a circular economy.</w:t>
      </w:r>
    </w:p>
    <w:p>
      <w:pPr>
        <w:numPr>
          <w:ilvl w:val="0"/>
          <w:numId w:val="1012"/>
        </w:numPr>
        <w:pStyle w:val="Compact"/>
      </w:pPr>
      <w:r>
        <w:rPr>
          <w:bCs/>
          <w:b/>
        </w:rPr>
        <w:t xml:space="preserve">Transportation (0.8%):</w:t>
      </w:r>
      <w:r>
        <w:t xml:space="preserve"> </w:t>
      </w:r>
      <w:r>
        <w:t xml:space="preserve">Transportation emissions are relatively low per unit, but optimizing logistics routes, increasing load factors, and exploring lower-carbon freight options (e.g., shifting from road to rail where feasible for last-mile) can contribute to further reductions.</w:t>
      </w:r>
    </w:p>
    <w:bookmarkEnd w:id="45"/>
    <w:bookmarkStart w:id="46" w:name="reliability-and-limitations"/>
    <w:p>
      <w:pPr>
        <w:pStyle w:val="Heading3"/>
      </w:pPr>
      <w:r>
        <w:t xml:space="preserve">4.2. Reliability and Limitations</w:t>
      </w:r>
    </w:p>
    <w:p>
      <w:pPr>
        <w:pStyle w:val="FirstParagraph"/>
      </w:pPr>
      <w:r>
        <w:t xml:space="preserve">The reliability of this PCF report is high, given the adherence to the GHG Protocol and the use of specific product data where available. However, some limitations exist:</w:t>
      </w:r>
    </w:p>
    <w:p>
      <w:pPr>
        <w:numPr>
          <w:ilvl w:val="0"/>
          <w:numId w:val="1013"/>
        </w:numPr>
        <w:pStyle w:val="Compact"/>
      </w:pPr>
      <w:r>
        <w:rPr>
          <w:bCs/>
          <w:b/>
        </w:rPr>
        <w:t xml:space="preserve">Secondary Data Reliance:</w:t>
      </w:r>
      <w:r>
        <w:t xml:space="preserve"> </w:t>
      </w:r>
      <w:r>
        <w:t xml:space="preserve">Emission factors for materials, transport, and electricity grids are based on secondary industry-average databases (Ecoinvent, DEFRA, etc.) which may not perfectly reflect specific supplier data or real-time operational efficiency.</w:t>
      </w:r>
    </w:p>
    <w:p>
      <w:pPr>
        <w:numPr>
          <w:ilvl w:val="0"/>
          <w:numId w:val="1013"/>
        </w:numPr>
        <w:pStyle w:val="Compact"/>
      </w:pPr>
      <w:r>
        <w:rPr>
          <w:bCs/>
          <w:b/>
        </w:rPr>
        <w:t xml:space="preserve">Assumptions for Placeholders:</w:t>
      </w:r>
      <w:r>
        <w:t xml:space="preserve"> </w:t>
      </w:r>
      <w:r>
        <w:t xml:space="preserve">For parameters initially provided as placeholders (e.g., `Select Mode`, `ovpqmdmofj`), representative industry averages and plausible scenarios were assumed. Actual figures from suppliers and logistics providers would enhance accuracy.</w:t>
      </w:r>
    </w:p>
    <w:p>
      <w:pPr>
        <w:numPr>
          <w:ilvl w:val="0"/>
          <w:numId w:val="1013"/>
        </w:numPr>
        <w:pStyle w:val="Compact"/>
      </w:pPr>
      <w:r>
        <w:rPr>
          <w:bCs/>
          <w:b/>
        </w:rPr>
        <w:t xml:space="preserve">Scope 1 for Manufacturing:</w:t>
      </w:r>
      <w:r>
        <w:t xml:space="preserve"> </w:t>
      </w:r>
      <w:r>
        <w:t xml:space="preserve">Direct Scope 1 emissions from manufacturing facilities (e.g., on-site fuel combustion) were not explicitly provided. For a product PCF, these are often considered minor compared to upstream material and energy impacts, but direct data would refine accuracy.</w:t>
      </w:r>
    </w:p>
    <w:p>
      <w:pPr>
        <w:numPr>
          <w:ilvl w:val="0"/>
          <w:numId w:val="1013"/>
        </w:numPr>
        <w:pStyle w:val="Compact"/>
      </w:pPr>
      <w:r>
        <w:rPr>
          <w:bCs/>
          <w:b/>
        </w:rPr>
        <w:t xml:space="preserve">LSR Standard Application:</w:t>
      </w:r>
      <w:r>
        <w:t xml:space="preserve"> </w:t>
      </w:r>
      <w:r>
        <w:t xml:space="preserve">The direct quantification of land use and carbon removals under the 2026 LSR Standard was limited due to the nature of the product\'s BOM (primarily non-bio-based materials).</w:t>
      </w:r>
    </w:p>
    <w:bookmarkEnd w:id="46"/>
    <w:bookmarkStart w:id="47" w:name="recommendations-for-improvement"/>
    <w:p>
      <w:pPr>
        <w:pStyle w:val="Heading3"/>
      </w:pPr>
      <w:r>
        <w:t xml:space="preserve">4.3. Recommendations for Improvement</w:t>
      </w:r>
    </w:p>
    <w:p>
      <w:pPr>
        <w:numPr>
          <w:ilvl w:val="0"/>
          <w:numId w:val="1014"/>
        </w:numPr>
        <w:pStyle w:val="Compact"/>
      </w:pPr>
      <w:r>
        <w:rPr>
          <w:bCs/>
          <w:b/>
        </w:rPr>
        <w:t xml:space="preserve">Enhance Use Phase Efficiency:</w:t>
      </w:r>
      <w:r>
        <w:t xml:space="preserve"> </w:t>
      </w:r>
      <w:r>
        <w:t xml:space="preserve">Invest in R&amp;D to significantly reduce the energy consumption of niqdpxpevh during its operational life. Explore low-power modes and smart energy management features.</w:t>
      </w:r>
    </w:p>
    <w:p>
      <w:pPr>
        <w:numPr>
          <w:ilvl w:val="0"/>
          <w:numId w:val="1014"/>
        </w:numPr>
        <w:pStyle w:val="Compact"/>
      </w:pPr>
      <w:r>
        <w:rPr>
          <w:bCs/>
          <w:b/>
        </w:rPr>
        <w:t xml:space="preserve">Sustainable Material Sourcing:</w:t>
      </w:r>
      <w:r>
        <w:t xml:space="preserve"> </w:t>
      </w:r>
      <w:r>
        <w:t xml:space="preserve">Investigate and implement the use of recycled content for plastics and metals, and explore bio-based alternatives where functionally appropriate, ensuring traceability for LSR reporting.</w:t>
      </w:r>
    </w:p>
    <w:p>
      <w:pPr>
        <w:numPr>
          <w:ilvl w:val="0"/>
          <w:numId w:val="1014"/>
        </w:numPr>
        <w:pStyle w:val="Compact"/>
      </w:pPr>
      <w:r>
        <w:rPr>
          <w:bCs/>
          <w:b/>
        </w:rPr>
        <w:t xml:space="preserve">Supply Chain Engagement:</w:t>
      </w:r>
      <w:r>
        <w:t xml:space="preserve"> </w:t>
      </w:r>
      <w:r>
        <w:t xml:space="preserve">Collaborate with key material suppliers to obtain primary emission data and identify opportunities for their decarbonization efforts.</w:t>
      </w:r>
    </w:p>
    <w:p>
      <w:pPr>
        <w:numPr>
          <w:ilvl w:val="0"/>
          <w:numId w:val="1014"/>
        </w:numPr>
        <w:pStyle w:val="Compact"/>
      </w:pPr>
      <w:r>
        <w:rPr>
          <w:bCs/>
          <w:b/>
        </w:rPr>
        <w:t xml:space="preserve">Renewable Energy Adoption:</w:t>
      </w:r>
      <w:r>
        <w:t xml:space="preserve"> </w:t>
      </w:r>
      <w:r>
        <w:t xml:space="preserve">Further increase the share of renewable energy used in manufacturing facilities in China beyond 60%, potentially through on-site generation or certified renewable energy purchases.</w:t>
      </w:r>
    </w:p>
    <w:p>
      <w:pPr>
        <w:numPr>
          <w:ilvl w:val="0"/>
          <w:numId w:val="1014"/>
        </w:numPr>
        <w:pStyle w:val="Compact"/>
      </w:pPr>
      <w:r>
        <w:rPr>
          <w:bCs/>
          <w:b/>
        </w:rPr>
        <w:t xml:space="preserve">Optimize Logistics:</w:t>
      </w:r>
      <w:r>
        <w:t xml:space="preserve"> </w:t>
      </w:r>
      <w:r>
        <w:t xml:space="preserve">Continuously seek efficiencies in transport, such as optimizing container loading, choosing lower-emission transport modes where possible, and consolidating shipments.</w:t>
      </w:r>
    </w:p>
    <w:p>
      <w:pPr>
        <w:numPr>
          <w:ilvl w:val="0"/>
          <w:numId w:val="1014"/>
        </w:numPr>
        <w:pStyle w:val="Compact"/>
      </w:pPr>
      <w:r>
        <w:rPr>
          <w:bCs/>
          <w:b/>
        </w:rPr>
        <w:t xml:space="preserve">Strengthen Circularity:</w:t>
      </w:r>
      <w:r>
        <w:t xml:space="preserve"> </w:t>
      </w:r>
      <w:r>
        <w:t xml:space="preserve">Expand and promote the manufacturer-led device take-back program to maximize material recovery and explore refurbishment or remanufacturing initiatives.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niqdpxpevh</dc:title>
  <dc:creator/>
  <dc:description>High-detail Product Carbon Footprint (PCF) analysis for Smart Home Device (niqdpxpevh) by InnovateTech Corp. (oydjseutnj), adhering to GHG Protocol and 2026 LSR update.</dc:description>
  <dc:language>en</dc:language>
  <cp:keywords/>
  <dcterms:created xsi:type="dcterms:W3CDTF">2026-05-30T16:55:41Z</dcterms:created>
  <dcterms:modified xsi:type="dcterms:W3CDTF">2026-05-30T16:55:41Z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